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481—1035.7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(17A,272C,542)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Informal discussion.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If the board considers it advisable, or if requested by the affected licensee, the board may grant the licensee an opportunity to appear for a voluntary informal discussion of the facts and circumstances of an alleged violation, subject to the provisions of this rule.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1035.7(1)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 w:val="false"/>
          <w:color w:val="000000"/>
          <w:sz w:val="22"/>
        </w:rPr>
        <w:t>An informal discussion is intended to provide a licensee an opportunity to share the licensee’s side of a complaint in an informal setting before the board determines whether probable cause exists to initiate a disciplinary proceeding. A licensee may attend an informal discussion but is not compelled to do so. Because disciplinary investigations are confidential, a licensee is not permitted to bring persons other than legal counsel to an informal discussion. Where an allegation is made against a firm, the firm may be represented by a managing partner, member or other firm representative.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1035.7(2)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 w:val="false"/>
          <w:color w:val="000000"/>
          <w:sz w:val="22"/>
        </w:rPr>
        <w:t>Unless disqualification is waived by the licensee, board members or staff who personally investigate a disciplinary complaint are disqualified from making decisions or assisting the decision makers at a later formal hearing. Because board members generally rely upon investigators, peer review committees, or expert consultants to conduct investigations, the issue rarely arises. An informal discussion, however, is a form of investigation because it is conducted in a question and answer format. In order to preserve the ability of all board members to participate in board decision making and to receive the advice of staff, a licensee who desires to attend an informal discussion waives the right to seek disqualification of a board member or staff based solely on the board member’s or staff’s participation in an informal discussion. A licensee would not be waiving the right to seek disqualification on any other ground. By electing to attend an informal discussion, a licensee accordingly agrees that participating board members or staff are not disqualified from acting as a presiding officer in a later contested case proceeding or from advising the decision maker.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1035.7(3)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 w:val="false"/>
          <w:color w:val="000000"/>
          <w:sz w:val="22"/>
        </w:rPr>
        <w:t>Because an informal discussion constitutes a part of the board’s investigation of a pending disciplinary case, the facts discussed at the informal discussion may be considered by the board in the event the matter proceeds to a contested case hearing and those facts are independently introduced into evidence.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1035.7(4)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The board may propose a consent order at the time of the informal discussion. If the licensee agrees to a consent order, a statement of charges is filed simultaneously with the consent order as provided in rule </w:t>
      </w:r>
      <w:hyperlink r:id="rId4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481—506.35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>(17A,272C).</w:t>
      </w:r>
    </w:p>
    <w:p>
      <w:pPr>
        <w:spacing w:before="0" w:after="0" w:line="24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16"/>
        </w:rPr>
        <w:t>[</w:t>
      </w:r>
      <w:r>
        <w:rPr>
          <w:rFonts w:ascii="Times New Roman" w:hAnsi="Times New Roman"/>
          <w:b/>
          <w:i w:val="false"/>
          <w:color w:val="000000"/>
          <w:sz w:val="16"/>
        </w:rPr>
        <w:t>ARC 7691C</w:t>
      </w:r>
      <w:r>
        <w:rPr>
          <w:rFonts w:ascii="Times New Roman" w:hAnsi="Times New Roman"/>
          <w:b w:val="false"/>
          <w:i w:val="false"/>
          <w:color w:val="000000"/>
          <w:sz w:val="16"/>
        </w:rPr>
        <w:t>, IAB 3/6/24, effective 4/10/24</w:t>
      </w:r>
      <w:r>
        <w:rPr>
          <w:rFonts w:ascii="Times New Roman" w:hAnsi="Times New Roman"/>
          <w:b w:val="false"/>
          <w:i w:val="false"/>
          <w:color w:val="000000"/>
          <w:sz w:val="16"/>
        </w:rPr>
        <w:t xml:space="preserve">; </w:t>
      </w:r>
      <w:r>
        <w:rPr>
          <w:rFonts w:ascii="Times New Roman" w:hAnsi="Times New Roman"/>
          <w:b w:val="false"/>
          <w:i w:val="false"/>
          <w:color w:val="000000"/>
          <w:sz w:val="16"/>
        </w:rPr>
        <w:t>Editorial change: IAC Supplement 6/10/26</w:t>
      </w:r>
      <w:r>
        <w:rPr>
          <w:rFonts w:ascii="Times New Roman" w:hAnsi="Times New Roman"/>
          <w:b w:val="false"/>
          <w:i w:val="false"/>
          <w:color w:val="000000"/>
          <w:sz w:val="16"/>
        </w:rPr>
        <w:t>]</w:t>
      </w:r>
    </w:p>
    <w:sectPr>
      <w:footerReference r:id="rId5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Mode="External" Target="https://www.legis.iowa.gov/docs/iac/rule/481.506.35.pdf" Type="http://schemas.openxmlformats.org/officeDocument/2006/relationships/hyperlink" Id="rId4"/>
    <Relationship Target="footer.xml" Type="http://schemas.openxmlformats.org/officeDocument/2006/relationships/footer" Id="rId5"/>
</Relationships>

</file>

<file path=docProps/app.xml><?xml version="1.0" encoding="utf-8"?>
<properties:Properties xmlns:vt="http://schemas.openxmlformats.org/officeDocument/2006/docPropsVTypes" xmlns:properties="http://schemas.openxmlformats.org/officeDocument/2006/extended-properti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