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481—1035.6</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Subpoena authority. </w:t>
      </w:r>
      <w:r>
        <w:rPr>
          <w:rFonts w:ascii="Times New Roman" w:hAnsi="Times New Roman"/>
          <w:b w:val="false"/>
          <w:i w:val="false"/>
          <w:color w:val="000000"/>
          <w:sz w:val="22"/>
        </w:rPr>
        <w:t xml:space="preserve">Pursuant to Iowa Code sections </w:t>
      </w:r>
      <w:hyperlink r:id="rId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542.11(1)</w:t>
        </w:r>
      </w:hyperlink>
      <w:r>
        <w:rPr>
          <w:rFonts w:ascii="Times New Roman" w:hAnsi="Times New Roman"/>
          <w:b w:val="false"/>
          <w:i w:val="false"/>
          <w:color w:val="000000"/>
          <w:sz w:val="22"/>
        </w:rPr>
        <w:t xml:space="preserve">, the board is authorized in connection with a disciplinary investigation to issue subpoenas to compel witnesses to testify or persons to produce books, papers, records and any other real evidence, whether or not privileged or confidential under law, which the board deems necessary as evidence in connection with a disciplinary proceeding or relevant to the decision of whether to initiate a disciplinary proceeding. Board procedures concerning investigative subpoenas are set forth in </w:t>
      </w:r>
      <w:hyperlink r:id="rId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 TargetMode="External" Target="https://www.legis.iowa.gov/docs/ico/chapter/272C.6.pdf" Type="http://schemas.openxmlformats.org/officeDocument/2006/relationships/hyperlink" Id="rId5"/>
    <Relationship TargetMode="External" Target="https://www.legis.iowa.gov/docs/ico/chapter/542.11.pdf" Type="http://schemas.openxmlformats.org/officeDocument/2006/relationships/hyperlink" Id="rId6"/>
    <Relationship TargetMode="External" Target="https://www.legis.iowa.gov/docs/iac/chapter/7.250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