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will not be released to any person except as provided in that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PCAOB information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PCAOB was created by the Sarbanes-Oxley Act of 2002 (the Act) as a nonprofit corporation under the laws of the District of Columbia. The duties of the PCAOB include the registration of public accounting firms that prepare audit reports for public companies; the promulgation of rules (as approved by the SEC) for auditing, quality control, ethics, independence and other standards relating to the preparation of audit reports; the inspection of registered public accounting firms; the investigation of alleged standards violations; and the imposition of appropriate sanctions following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Pursuant to Section 105(b)(5)(A) of the Act and PCAOB rules, PCAOB investigatory information and records are confidential and privileged and are exempt from disclosure under the federal Freedom of Information Act. PCAOB, in its discretion, may share such information and records, along with the nonpublic sections of inspection reports, with state regulatory authorities as necessary to accomplish the purposes of the Act or to protect investors. As provided in Section 105(b)(5)(B) of the Act, state regulatory authorities also maintain such information and records as confidential and privileged, and the board will maintain that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1035.5(3)</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investigations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the soliciting of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 TargetMode="External" Target="https://www.legis.iowa.gov/docs/ico/chapter/10A.506.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272C.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