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481—1035.3</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by any means and by anyone.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through the online complaint process. Written complaints, whether submitted on a board complaint form or in other written medium,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4">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is not civilly liable as a result of filing a report or complaint with the board unless such act is done with malice, nor may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review. </w:t>
      </w:r>
      <w:r>
        <w:rPr>
          <w:rFonts w:ascii="Times New Roman" w:hAnsi="Times New Roman"/>
          <w:b w:val="false"/>
          <w:i w:val="false"/>
          <w:color w:val="000000"/>
          <w:sz w:val="22"/>
        </w:rPr>
        <w:t xml:space="preserve">All written complaints received by the board are initially reviewed by the board’s administrator to determine whether the complaint allegations fall within the board’s investigatory jurisdiction and whether the facts presented, if true, would constitute a basis for licensee disciplinary action. Complaints that are clearly outside the board’s jurisdiction, which clearly do not allege facts upon which disciplinary action would be based, or which are frivolous, will be referred by the board administrator to the board for closure at the next scheduled board meeting.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