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Initiation of disciplinary 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initiate a licensee disciplinary investigation upon the board’s receipt of information suggesting that a licensee may have violated a law or rule enforced by the board which, if true, would constitute grounds for licensee discipline. The board may also review the publicly available work product of licensees on a general or random basis to determine whether reasonable grounds exist to initiate disciplinary proceedings or to conduct a more specific investigation.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