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481—1033.6</w:t>
      </w:r>
      <w:r>
        <w:rPr>
          <w:rFonts w:ascii="Times New Roman" w:hAnsi="Times New Roman"/>
          <w:b/>
          <w:i w:val="false"/>
          <w:color w:val="000000"/>
          <w:sz w:val="22"/>
        </w:rPr>
        <w:t xml:space="preserve">(542) </w:t>
      </w:r>
      <w:r>
        <w:rPr>
          <w:rFonts w:ascii="Times New Roman" w:hAnsi="Times New Roman"/>
          <w:b/>
          <w:i w:val="false"/>
          <w:color w:val="000000"/>
          <w:sz w:val="22"/>
        </w:rPr>
        <w:t xml:space="preserve">Rules applicable to tax practice. </w:t>
      </w:r>
      <w:r>
        <w:rPr>
          <w:rFonts w:ascii="Times New Roman" w:hAnsi="Times New Roman"/>
          <w:b w:val="false"/>
          <w:i w:val="false"/>
          <w:color w:val="000000"/>
          <w:sz w:val="22"/>
        </w:rPr>
        <w:t xml:space="preserve">CPAs, LPAs, and persons who are not CPAs or LPAs may perform tax services in Iowa. The rules of professional ethics and conduct in this chapter apply to any CPA or LPA who is licensed in Iowa and to any CPA exercising a practice privilege in Iowa whenever such person informs the client or prospective client that the person is a CPA or an LPA. Clients may be so informed in a number of ways, including oral or written representations, the display of a CPA certificate or LPA license, or use of the CPA or LPA title in advertising, telephone or Internet directories, letterhead, business cards or email.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7689C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