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481—1033.3</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CPAs and LPAs who use the titles in offering or rendering products or services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1033.3(1)</w:t>
      </w:r>
      <w:r>
        <w:rPr>
          <w:rFonts w:ascii="Times New Roman" w:hAnsi="Times New Roman"/>
          <w:b w:val="false"/>
          <w:i w:val="false"/>
          <w:color w:val="000000"/>
          <w:sz w:val="22"/>
        </w:rPr>
        <w:t> </w:t>
      </w:r>
      <w:r>
        <w:rPr>
          <w:rFonts w:ascii="Times New Roman" w:hAnsi="Times New Roman"/>
          <w:b w:val="false"/>
          <w:i/>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w:t>
      </w:r>
      <w:r>
        <w:rPr>
          <w:rFonts w:ascii="Times New Roman" w:hAnsi="Times New Roman"/>
          <w:b w:val="false"/>
          <w:i w:val="false"/>
          <w:color w:val="000000"/>
          <w:sz w:val="22"/>
        </w:rPr>
        <w:t xml:space="preserve">Only a person who holds an active, unexpired certificate and who complies with </w:t>
      </w:r>
      <w:hyperlink r:id="rId4">
        <w:r>
          <w:rPr>
            <w:rStyle w:val="Hyperlink"/>
            <w:rFonts w:ascii="Times New Roman" w:hAnsi="Times New Roman"/>
            <w:b w:val="false"/>
            <w:i w:val="false"/>
            <w:color w:val="000000"/>
            <w:sz w:val="22"/>
          </w:rPr>
          <w:t>481—Chapter 1025</w:t>
        </w:r>
      </w:hyperlink>
      <w:r>
        <w:rPr>
          <w:rFonts w:ascii="Times New Roman" w:hAnsi="Times New Roman"/>
          <w:b w:val="false"/>
          <w:i w:val="false"/>
          <w:color w:val="000000"/>
          <w:sz w:val="22"/>
        </w:rPr>
        <w:t xml:space="preserve">, Licensure Status and Renewal of Certificates and Licenses, and </w:t>
      </w:r>
      <w:hyperlink r:id="rId5">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Continuing Education, or a person lawfully exercising a practice privilege under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abbreviation(s), sign, card, or device indicating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accountant.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abbreviation(s), sign, card, or device indicating that such person is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1033.3(2)</w:t>
      </w:r>
      <w:r>
        <w:rPr>
          <w:rFonts w:ascii="Times New Roman" w:hAnsi="Times New Roman"/>
          <w:b w:val="false"/>
          <w:i w:val="false"/>
          <w:color w:val="000000"/>
          <w:sz w:val="22"/>
        </w:rPr>
        <w:t> </w:t>
      </w:r>
      <w:r>
        <w:rPr>
          <w:rFonts w:ascii="Times New Roman" w:hAnsi="Times New Roman"/>
          <w:b w:val="false"/>
          <w:i/>
          <w:color w:val="000000"/>
          <w:sz w:val="22"/>
        </w:rPr>
        <w:t xml:space="preserve">Forms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and these rules as a firm of certified public accountants in order to use the title “CPAs” or “CPA firm,” as more fully described in </w:t>
      </w:r>
      <w:hyperlink r:id="rId8">
        <w:r>
          <w:rPr>
            <w:rStyle w:val="Hyperlink"/>
            <w:rFonts w:ascii="Times New Roman" w:hAnsi="Times New Roman"/>
            <w:b w:val="false"/>
            <w:i w:val="false"/>
            <w:color w:val="000000"/>
            <w:sz w:val="22"/>
          </w:rPr>
          <w:t>481—Chapter 1027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accounting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9">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and these rules as a firm of licensed public accountants in order to use the title “LPAs” or “LPA firm,” as more fully described in </w:t>
      </w:r>
      <w:hyperlink r:id="rId10">
        <w:r>
          <w:rPr>
            <w:rStyle w:val="Hyperlink"/>
            <w:rFonts w:ascii="Times New Roman" w:hAnsi="Times New Roman"/>
            <w:b w:val="false"/>
            <w:i w:val="false"/>
            <w:color w:val="000000"/>
            <w:sz w:val="22"/>
          </w:rPr>
          <w:t>481—Chapter 1028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1033.3(3)</w:t>
      </w:r>
      <w:r>
        <w:rPr>
          <w:rFonts w:ascii="Times New Roman" w:hAnsi="Times New Roman"/>
          <w:b w:val="false"/>
          <w:i w:val="false"/>
          <w:color w:val="000000"/>
          <w:sz w:val="22"/>
        </w:rPr>
        <w:t> </w:t>
      </w:r>
      <w:r>
        <w:rPr>
          <w:rFonts w:ascii="Times New Roman" w:hAnsi="Times New Roman"/>
          <w:b w:val="false"/>
          <w:i/>
          <w:color w:val="000000"/>
          <w:sz w:val="22"/>
        </w:rPr>
        <w:t xml:space="preserve">Acting through others. </w:t>
      </w:r>
      <w:r>
        <w:rPr>
          <w:rFonts w:ascii="Times New Roman" w:hAnsi="Times New Roman"/>
          <w:b w:val="false"/>
          <w:i w:val="false"/>
          <w:color w:val="000000"/>
          <w:sz w:val="22"/>
        </w:rPr>
        <w:t>A CPA or an LPA is obligated to not allow others to carry out on the CPA’s or LPA’s behalf, either with or without compensation, acts which, if carried out by the CPA or LPA, would violate the rules of professional ethics and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25.pdf" Type="http://schemas.openxmlformats.org/officeDocument/2006/relationships/hyperlink" Id="rId4"/>
    <Relationship TargetMode="External" Target="https://www.legis.iowa.gov/docs/iac/chapter/481.103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7.pdf" Type="http://schemas.openxmlformats.org/officeDocument/2006/relationships/hyperlink" Id="rId7"/>
    <Relationship TargetMode="External" Target="https://www.legis.iowa.gov/docs/iac/chapter/481.1027.pdf" Type="http://schemas.openxmlformats.org/officeDocument/2006/relationships/hyperlink" Id="rId8"/>
    <Relationship TargetMode="External" Target="https://www.legis.iowa.gov/docs/ico/chapter/542.8.pdf" Type="http://schemas.openxmlformats.org/officeDocument/2006/relationships/hyperlink" Id="rId9"/>
    <Relationship TargetMode="External" Target="https://www.legis.iowa.gov/docs/iac/chapter/481.102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