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481—1031.6</w:t>
      </w:r>
      <w:r>
        <w:rPr>
          <w:rFonts w:ascii="Times New Roman" w:hAnsi="Times New Roman"/>
          <w:b/>
          <w:i w:val="false"/>
          <w:color w:val="000000"/>
          <w:sz w:val="22"/>
        </w:rPr>
        <w:t xml:space="preserve">(542) </w:t>
      </w:r>
      <w:r>
        <w:rPr>
          <w:rFonts w:ascii="Times New Roman" w:hAnsi="Times New Roman"/>
          <w:b/>
          <w:i w:val="false"/>
          <w:color w:val="000000"/>
          <w:sz w:val="22"/>
        </w:rPr>
        <w:t xml:space="preserve">Submission of peer review reports. </w:t>
      </w:r>
      <w:r>
        <w:rPr>
          <w:rFonts w:ascii="Times New Roman" w:hAnsi="Times New Roman"/>
          <w:b w:val="false"/>
          <w:i w:val="false"/>
          <w:color w:val="000000"/>
          <w:sz w:val="22"/>
        </w:rPr>
        <w:t>Unless the subject of a peer review timely objects in writing to the administering entity of the peer review program, the administering entity will make available to the board, within 30 days of the issuance of the peer review acceptance letter, the final peer review report or such peer review records as are designated by the peer review program in which the administering entity participates. The subject of a peer review may voluntarily submit the final peer review report directly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