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481—1031.4</w:t>
      </w:r>
      <w:r>
        <w:rPr>
          <w:rFonts w:ascii="Times New Roman" w:hAnsi="Times New Roman"/>
          <w:b/>
          <w:i w:val="false"/>
          <w:color w:val="000000"/>
          <w:sz w:val="22"/>
        </w:rPr>
        <w:t xml:space="preserve">(542) </w:t>
      </w:r>
      <w:r>
        <w:rPr>
          <w:rFonts w:ascii="Times New Roman" w:hAnsi="Times New Roman"/>
          <w:b/>
          <w:i w:val="false"/>
          <w:color w:val="000000"/>
          <w:sz w:val="22"/>
        </w:rPr>
        <w:t xml:space="preserve">Peer review programs that qualify. </w:t>
      </w:r>
      <w:r>
        <w:rPr>
          <w:rFonts w:ascii="Times New Roman" w:hAnsi="Times New Roman"/>
          <w:b w:val="false"/>
          <w:i w:val="false"/>
          <w:color w:val="000000"/>
          <w:sz w:val="22"/>
        </w:rPr>
        <w:t>A firm’s completion of a peer review program endorsed or supported by the AICPA, the National Society of Accountants or other substantially similar review programs in Iowa or other states approved by the board satisfies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