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481—1031.1</w:t>
      </w:r>
      <w:r>
        <w:rPr>
          <w:rFonts w:ascii="Times New Roman" w:hAnsi="Times New Roman"/>
          <w:b/>
          <w:i w:val="false"/>
          <w:color w:val="000000"/>
          <w:sz w:val="22"/>
        </w:rPr>
        <w:t xml:space="preserve">(542) </w:t>
      </w:r>
      <w:r>
        <w:rPr>
          <w:rFonts w:ascii="Times New Roman" w:hAnsi="Times New Roman"/>
          <w:b/>
          <w:i w:val="false"/>
          <w:color w:val="000000"/>
          <w:sz w:val="22"/>
        </w:rPr>
        <w:t xml:space="preserve">Peer review obligations. </w:t>
      </w:r>
      <w:r>
        <w:rPr>
          <w:rFonts w:ascii="Times New Roman" w:hAnsi="Times New Roman"/>
          <w:b w:val="false"/>
          <w:i w:val="false"/>
          <w:color w:val="000000"/>
          <w:sz w:val="22"/>
        </w:rPr>
        <w:t>As a condition of renewal for a CPA or an LPA who issues compilation reports other than through a CPA or an LPA firm that holds a permit to practice, and as a condition of permit renewal for LPA firms that issue compilation reports or CPA firms that provide attest services or issue compilation reports, the applicant shall submit certification of completion of a peer review issued pursuant to this chapter. Such review needs to be completed at the highest level of service provided by the firm or licensee. The performance of preparation services under SSARS 21 does not alone subject a firm or individual to peer review, although if a firm or individual is otherwise subject to peer review, the reviewer may include preparation services in the scope of practices reviewed.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