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481—1029.7</w:t>
      </w:r>
      <w:r>
        <w:rPr>
          <w:rFonts w:ascii="Times New Roman" w:hAnsi="Times New Roman"/>
          <w:b/>
          <w:i w:val="false"/>
          <w:color w:val="000000"/>
          <w:sz w:val="22"/>
        </w:rPr>
        <w:t xml:space="preserve">(542) </w:t>
      </w:r>
      <w:r>
        <w:rPr>
          <w:rFonts w:ascii="Times New Roman" w:hAnsi="Times New Roman"/>
          <w:b/>
          <w:i w:val="false"/>
          <w:color w:val="000000"/>
          <w:sz w:val="22"/>
        </w:rPr>
        <w:t xml:space="preserve">Expedited application processing. </w:t>
      </w:r>
      <w:r>
        <w:rPr>
          <w:rFonts w:ascii="Times New Roman" w:hAnsi="Times New Roman"/>
          <w:b w:val="false"/>
          <w:i w:val="false"/>
          <w:color w:val="000000"/>
          <w:sz w:val="22"/>
        </w:rPr>
        <w:t xml:space="preserve">A person applying for a CPA certificate under the substantial equivalency provisions of Iowa Code section </w:t>
      </w:r>
      <w:hyperlink r:id="rId4">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often desires expedited application processing to facilitate cross-border practice. Applications by such persons are especially suitable for rapid processing given the substantially equivalent standards previously enforced in another state. Unless such application reveals grounds to deny the application under subrule </w:t>
      </w:r>
      <w:hyperlink r:id="rId5">
        <w:r>
          <w:rPr>
            <w:rStyle w:val="Hyperlink"/>
            <w:rFonts w:ascii="Times New Roman" w:hAnsi="Times New Roman"/>
            <w:b w:val="false"/>
            <w:i w:val="false"/>
            <w:color w:val="000000"/>
            <w:sz w:val="22"/>
          </w:rPr>
          <w:t>1029.3(2)</w:t>
        </w:r>
      </w:hyperlink>
      <w:r>
        <w:rPr>
          <w:rFonts w:ascii="Times New Roman" w:hAnsi="Times New Roman"/>
          <w:b w:val="false"/>
          <w:i w:val="false"/>
          <w:color w:val="000000"/>
          <w:sz w:val="22"/>
        </w:rPr>
        <w:t xml:space="preserve">, the board is otherwise aware of such grounds, or the application is unaccompanied by the proper fee, the board’s administrator will approve an application that qualifies under Iowa Code section </w:t>
      </w:r>
      <w:hyperlink r:id="rId6">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as rapidly as feasible and deem the effective date of approval to practice in Iowa to be the date the board received the completed application with timely letter of good standing in a substantially equivalent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19.pdf" Type="http://schemas.openxmlformats.org/officeDocument/2006/relationships/hyperlink" Id="rId4"/>
    <Relationship TargetMode="External" Target="https://www.legis.iowa.gov/docs/iac/rule/481.1029.3.pdf" Type="http://schemas.openxmlformats.org/officeDocument/2006/relationships/hyperlink" Id="rId5"/>
    <Relationship TargetMode="External" Target="https://www.legis.iowa.gov/docs/ico/chapter/542.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