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481—1029.6</w:t>
      </w:r>
      <w:r>
        <w:rPr>
          <w:rFonts w:ascii="Times New Roman" w:hAnsi="Times New Roman"/>
          <w:b/>
          <w:i w:val="false"/>
          <w:color w:val="000000"/>
          <w:sz w:val="22"/>
        </w:rPr>
        <w:t xml:space="preserve">(542) </w:t>
      </w:r>
      <w:r>
        <w:rPr>
          <w:rFonts w:ascii="Times New Roman" w:hAnsi="Times New Roman"/>
          <w:b/>
          <w:i w:val="false"/>
          <w:color w:val="000000"/>
          <w:sz w:val="22"/>
        </w:rPr>
        <w:t xml:space="preserve">Continuing obligations. </w:t>
      </w:r>
      <w:r>
        <w:rPr>
          <w:rFonts w:ascii="Times New Roman" w:hAnsi="Times New Roman"/>
          <w:b w:val="false"/>
          <w:i w:val="false"/>
          <w:color w:val="000000"/>
          <w:sz w:val="22"/>
        </w:rPr>
        <w:t xml:space="preserve">A person issued a CPA certificate under this chapter is subject to all laws and rules governing persons holding CPA certificates issued in this state including, without limitation, those concerning continuing education, peer review, and notification of crimes and professional discipline. However, a person issued a CPA certificate under this chapter who maintains the principal place of business in a different state and who maintains in good standing a valid CPA certificate or license in that state is deemed to have satisfied the continuing education and peer review obligations described in </w:t>
      </w:r>
      <w:hyperlink r:id="rId4">
        <w:r>
          <w:rPr>
            <w:rStyle w:val="Hyperlink"/>
            <w:rFonts w:ascii="Times New Roman" w:hAnsi="Times New Roman"/>
            <w:b w:val="false"/>
            <w:i w:val="false"/>
            <w:color w:val="000000"/>
            <w:sz w:val="22"/>
          </w:rPr>
          <w:t>481—Chapters 1030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1031</w:t>
        </w:r>
      </w:hyperlink>
      <w:r>
        <w:rPr>
          <w:rFonts w:ascii="Times New Roman" w:hAnsi="Times New Roman"/>
          <w:b w:val="false"/>
          <w:i w:val="false"/>
          <w:color w:val="000000"/>
          <w:sz w:val="22"/>
        </w:rPr>
        <w:t xml:space="preserve"> if the person satisfies similar obligations in the state in which the principal place of business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1030.pdf" Type="http://schemas.openxmlformats.org/officeDocument/2006/relationships/hyperlink" Id="rId4"/>
    <Relationship TargetMode="External" Target="https://www.legis.iowa.gov/docs/iac/chapter/481.103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