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481—1029.2</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Application forms. </w:t>
      </w:r>
      <w:r>
        <w:rPr>
          <w:rFonts w:ascii="Times New Roman" w:hAnsi="Times New Roman"/>
          <w:b w:val="false"/>
          <w:i w:val="false"/>
          <w:color w:val="000000"/>
          <w:sz w:val="22"/>
        </w:rPr>
        <w:t xml:space="preserve">Application forms may only be completed and submitted through the online application process. An applicant will attest that all information provided on the form is true and accurate. An application may be denied based on a false statement of material fact. A nonrefundable fee will be charged to each applicant as provided in </w:t>
      </w:r>
      <w:hyperlink r:id="rId4">
        <w:r>
          <w:rPr>
            <w:rStyle w:val="Hyperlink"/>
            <w:rFonts w:ascii="Times New Roman" w:hAnsi="Times New Roman"/>
            <w:b w:val="false"/>
            <w:i w:val="false"/>
            <w:color w:val="000000"/>
            <w:sz w:val="22"/>
          </w:rPr>
          <w:t>481—Chapter 1032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103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