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481—1028.5</w:t>
      </w:r>
      <w:r>
        <w:rPr>
          <w:rFonts w:ascii="Times New Roman" w:hAnsi="Times New Roman"/>
          <w:b/>
          <w:i w:val="false"/>
          <w:color w:val="000000"/>
          <w:sz w:val="22"/>
        </w:rPr>
        <w:t xml:space="preserve">(542) </w:t>
      </w:r>
      <w:r>
        <w:rPr>
          <w:rFonts w:ascii="Times New Roman" w:hAnsi="Times New Roman"/>
          <w:b/>
          <w:i w:val="false"/>
          <w:color w:val="000000"/>
          <w:sz w:val="22"/>
        </w:rPr>
        <w:t xml:space="preserve">Noncompliance. </w:t>
      </w:r>
      <w:r>
        <w:rPr>
          <w:rFonts w:ascii="Times New Roman" w:hAnsi="Times New Roman"/>
          <w:b w:val="false"/>
          <w:i w:val="false"/>
          <w:color w:val="000000"/>
          <w:sz w:val="22"/>
        </w:rPr>
        <w:t xml:space="preserve">A firm which, after receiving or renewing a permit, is not in compliance with Iowa Code section </w:t>
      </w:r>
      <w:hyperlink r:id="rId4">
        <w:r>
          <w:rPr>
            <w:rStyle w:val="Hyperlink"/>
            <w:rFonts w:ascii="Times New Roman" w:hAnsi="Times New Roman"/>
            <w:b w:val="false"/>
            <w:i w:val="false"/>
            <w:color w:val="000000"/>
            <w:sz w:val="22"/>
          </w:rPr>
          <w:t>542.8</w:t>
        </w:r>
      </w:hyperlink>
      <w:r>
        <w:rPr>
          <w:rFonts w:ascii="Times New Roman" w:hAnsi="Times New Roman"/>
          <w:b w:val="false"/>
          <w:i w:val="false"/>
          <w:color w:val="000000"/>
          <w:sz w:val="22"/>
        </w:rPr>
        <w:t xml:space="preserve"> as a result of a change in firm ownership or personnel will take corrective action to bring the firm back into compliance as quickly as possible or apply to modify or amend the permit. The board may grant a reasonable period of time, usually 90 days, for a firm to take such corrective action. Failure to comply within a reasonable period as deemed by the board will result in the suspension or revocation of the firm permit.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42.8.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