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481—1028.3</w:t>
      </w:r>
      <w:r>
        <w:rPr>
          <w:rFonts w:ascii="Times New Roman" w:hAnsi="Times New Roman"/>
          <w:b/>
          <w:i w:val="false"/>
          <w:color w:val="000000"/>
          <w:sz w:val="22"/>
        </w:rPr>
        <w:t xml:space="preserve">(542) </w:t>
      </w:r>
      <w:r>
        <w:rPr>
          <w:rFonts w:ascii="Times New Roman" w:hAnsi="Times New Roman"/>
          <w:b/>
          <w:i w:val="false"/>
          <w:color w:val="000000"/>
          <w:sz w:val="22"/>
        </w:rPr>
        <w:t xml:space="preserve">Failure to renew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1028.3(1)</w:t>
      </w:r>
      <w:r>
        <w:rPr>
          <w:rFonts w:ascii="Times New Roman" w:hAnsi="Times New Roman"/>
          <w:b w:val="false"/>
          <w:i w:val="false"/>
          <w:color w:val="000000"/>
          <w:sz w:val="22"/>
        </w:rPr>
        <w:t> </w:t>
      </w:r>
      <w:r>
        <w:rPr>
          <w:rFonts w:ascii="Times New Roman" w:hAnsi="Times New Roman"/>
          <w:b w:val="false"/>
          <w:i w:val="false"/>
          <w:color w:val="000000"/>
          <w:sz w:val="22"/>
        </w:rPr>
        <w:t>A firm that fails to renew the permit by the expiration date, but does so within 30 days following the expiration date, will be assessed a penalty of 25 percent of the annual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1028.3(2)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firm fails to renew the permit within the 30-day grace period outlined in subrule </w:t>
      </w:r>
      <w:hyperlink r:id="rId4">
        <w:r>
          <w:rPr>
            <w:rStyle w:val="Hyperlink"/>
            <w:rFonts w:ascii="Times New Roman" w:hAnsi="Times New Roman"/>
            <w:b w:val="false"/>
            <w:i w:val="false"/>
            <w:color w:val="000000"/>
            <w:sz w:val="22"/>
          </w:rPr>
          <w:t>1028.3(1)</w:t>
        </w:r>
      </w:hyperlink>
      <w:r>
        <w:rPr>
          <w:rFonts w:ascii="Times New Roman" w:hAnsi="Times New Roman"/>
          <w:b w:val="false"/>
          <w:i w:val="false"/>
          <w:color w:val="000000"/>
          <w:sz w:val="22"/>
        </w:rPr>
        <w:t xml:space="preserve">, the permit will lapse and the firm may then apply for reinstatement in accordance with subrule </w:t>
      </w:r>
      <w:hyperlink r:id="rId5">
        <w:r>
          <w:rPr>
            <w:rStyle w:val="Hyperlink"/>
            <w:rFonts w:ascii="Times New Roman" w:hAnsi="Times New Roman"/>
            <w:b w:val="false"/>
            <w:i w:val="false"/>
            <w:color w:val="000000"/>
            <w:sz w:val="22"/>
          </w:rPr>
          <w:t>1028.3(3)</w:t>
        </w:r>
      </w:hyperlink>
      <w:r>
        <w:rPr>
          <w:rFonts w:ascii="Times New Roman" w:hAnsi="Times New Roman"/>
          <w:b w:val="false"/>
          <w:i w:val="false"/>
          <w:color w:val="000000"/>
          <w:sz w:val="22"/>
        </w:rPr>
        <w:t>. The firm is not authorized to practice as an LPA firm during the period of time that the permit is lapsed, including the 30-day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1028.3(3)</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reinstate the permit upon payment of the proper renewal fee and a penalty as provided in rule </w:t>
      </w:r>
      <w:hyperlink r:id="rId6">
        <w:r>
          <w:rPr>
            <w:rStyle w:val="Hyperlink"/>
            <w:rFonts w:ascii="Times New Roman" w:hAnsi="Times New Roman"/>
            <w:b w:val="false"/>
            <w:i w:val="false"/>
            <w:color w:val="000000"/>
            <w:sz w:val="22"/>
          </w:rPr>
          <w:t>481—1032.1</w:t>
        </w:r>
      </w:hyperlink>
      <w:r>
        <w:rPr>
          <w:rFonts w:ascii="Times New Roman" w:hAnsi="Times New Roman"/>
          <w:b w:val="false"/>
          <w:i w:val="false"/>
          <w:color w:val="000000"/>
          <w:sz w:val="22"/>
        </w:rPr>
        <w:t>(542). A written statement outlining the firm’s professional activities during the period of lapsed licensure is needed in this context.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1028.3(4)</w:t>
      </w:r>
      <w:r>
        <w:rPr>
          <w:rFonts w:ascii="Times New Roman" w:hAnsi="Times New Roman"/>
          <w:b w:val="false"/>
          <w:i w:val="false"/>
          <w:color w:val="000000"/>
          <w:sz w:val="22"/>
        </w:rPr>
        <w:t> </w:t>
      </w:r>
      <w:r>
        <w:rPr>
          <w:rFonts w:ascii="Times New Roman" w:hAnsi="Times New Roman"/>
          <w:b w:val="false"/>
          <w:i w:val="false"/>
          <w:color w:val="000000"/>
          <w:sz w:val="22"/>
        </w:rPr>
        <w:t>The board may find probable cause to file charges for unlicensed practice if the firm continues to offer services defined as the practice of accounting while using the title “LPAs” or “LPA firm” during the period of lapsed licensure.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1028.3.pdf" Type="http://schemas.openxmlformats.org/officeDocument/2006/relationships/hyperlink" Id="rId4"/>
    <Relationship TargetMode="External" Target="https://www.legis.iowa.gov/docs/iac/rule/481.1028.3.pdf" Type="http://schemas.openxmlformats.org/officeDocument/2006/relationships/hyperlink" Id="rId5"/>
    <Relationship TargetMode="External" Target="https://www.legis.iowa.gov/docs/iac/rule/481.1032.1.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