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481—1028.1</w:t>
      </w:r>
      <w:r>
        <w:rPr>
          <w:rFonts w:ascii="Times New Roman" w:hAnsi="Times New Roman"/>
          <w:b/>
          <w:i w:val="false"/>
          <w:color w:val="000000"/>
          <w:sz w:val="22"/>
        </w:rPr>
        <w:t xml:space="preserve">(542) </w:t>
      </w:r>
      <w:r>
        <w:rPr>
          <w:rFonts w:ascii="Times New Roman" w:hAnsi="Times New Roman"/>
          <w:b/>
          <w:i w:val="false"/>
          <w:color w:val="000000"/>
          <w:sz w:val="22"/>
        </w:rPr>
        <w:t xml:space="preserve">Initial permit to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1028.1(1)</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 proprietorship, corporation, partnership, limited liability company, or any other form of organization may apply for a permit to practice under Iowa Code section </w:t>
      </w:r>
      <w:hyperlink r:id="rId4">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may be completed and submitted through the online application process and provide sufficient information pursuant to Iowa Code section </w:t>
      </w:r>
      <w:hyperlink r:id="rId5">
        <w:r>
          <w:rPr>
            <w:rStyle w:val="Hyperlink"/>
            <w:rFonts w:ascii="Times New Roman" w:hAnsi="Times New Roman"/>
            <w:b w:val="false"/>
            <w:i w:val="false"/>
            <w:color w:val="000000"/>
            <w:sz w:val="22"/>
          </w:rPr>
          <w:t>542.8(12)</w:t>
        </w:r>
      </w:hyperlink>
      <w:r>
        <w:rPr>
          <w:rFonts w:ascii="Times New Roman" w:hAnsi="Times New Roman"/>
          <w:b w:val="false"/>
          <w:i w:val="false"/>
          <w:color w:val="000000"/>
          <w:sz w:val="22"/>
        </w:rPr>
        <w:t xml:space="preserve"> or certificates issued by the board under Iowa Code section </w:t>
      </w:r>
      <w:hyperlink r:id="rId6">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are eligible to practice under practice privilege pursuant to Iowa Code section </w:t>
      </w:r>
      <w:hyperlink r:id="rId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otherwise hold a license or certificate to practice public accounting in another state. At least one owner has to be licensed under Iowa Code section </w:t>
      </w:r>
      <w:hyperlink r:id="rId9">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1028.1(3)</w:t>
      </w:r>
      <w:r>
        <w:rPr>
          <w:rFonts w:ascii="Times New Roman" w:hAnsi="Times New Roman"/>
          <w:b w:val="false"/>
          <w:i w:val="false"/>
          <w:color w:val="000000"/>
          <w:sz w:val="22"/>
        </w:rPr>
        <w:t> </w:t>
      </w:r>
      <w:r>
        <w:rPr>
          <w:rFonts w:ascii="Times New Roman" w:hAnsi="Times New Roman"/>
          <w:b w:val="false"/>
          <w:i w:val="false"/>
          <w:color w:val="000000"/>
          <w:sz w:val="22"/>
        </w:rPr>
        <w:t>The application will list the physical location and contact information for all offices within this state and the licensee in charge of each such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1028.1(4)</w:t>
      </w:r>
      <w:r>
        <w:rPr>
          <w:rFonts w:ascii="Times New Roman" w:hAnsi="Times New Roman"/>
          <w:b w:val="false"/>
          <w:i w:val="false"/>
          <w:color w:val="000000"/>
          <w:sz w:val="22"/>
        </w:rPr>
        <w:t> </w:t>
      </w:r>
      <w:r>
        <w:rPr>
          <w:rFonts w:ascii="Times New Roman" w:hAnsi="Times New Roman"/>
          <w:b w:val="false"/>
          <w:i w:val="false"/>
          <w:color w:val="000000"/>
          <w:sz w:val="22"/>
        </w:rPr>
        <w:t>Fraud or deceit, by commission or omission, in obtaining a firm permit to practice is a ground for discipline, including permanent revocation of the firm’s permit to practice, the individual certificate of an Iowa LPA or CPA, or an individual’s practice privilege, as applicable to the entity or persons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or renewal application for a firm permit to practice may be denied pursuant to Iowa Code section </w:t>
      </w:r>
      <w:hyperlink r:id="rId10">
        <w:r>
          <w:rPr>
            <w:rStyle w:val="Hyperlink"/>
            <w:rFonts w:ascii="Times New Roman" w:hAnsi="Times New Roman"/>
            <w:b w:val="false"/>
            <w:i w:val="false"/>
            <w:color w:val="000000"/>
            <w:sz w:val="22"/>
          </w:rPr>
          <w:t>542.8(12)</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8.pdf" Type="http://schemas.openxmlformats.org/officeDocument/2006/relationships/hyperlink" Id="rId4"/>
    <Relationship TargetMode="External" Target="https://www.legis.iowa.gov/docs/ico/chapter/542.8.pdf" Type="http://schemas.openxmlformats.org/officeDocument/2006/relationships/hyperlink" Id="rId5"/>
    <Relationship TargetMode="External" Target="https://www.legis.iowa.gov/docs/ico/chapter/542.6.pdf" Type="http://schemas.openxmlformats.org/officeDocument/2006/relationships/hyperlink" Id="rId6"/>
    <Relationship TargetMode="External" Target="https://www.legis.iowa.gov/docs/ico/chapter/542.19.pdf" Type="http://schemas.openxmlformats.org/officeDocument/2006/relationships/hyperlink" Id="rId7"/>
    <Relationship TargetMode="External" Target="https://www.legis.iowa.gov/docs/ico/chapter/542.20.pdf" Type="http://schemas.openxmlformats.org/officeDocument/2006/relationships/hyperlink" Id="rId8"/>
    <Relationship TargetMode="External" Target="https://www.legis.iowa.gov/docs/ico/chapter/542.8.pdf" Type="http://schemas.openxmlformats.org/officeDocument/2006/relationships/hyperlink" Id="rId9"/>
    <Relationship TargetMode="External" Target="https://www.legis.iowa.gov/docs/ico/chapter/542.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