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grant a reasonable period of time, usually 90 days, for a firm to take such corrective action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