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481—1027.4</w:t>
      </w:r>
      <w:r>
        <w:rPr>
          <w:rFonts w:ascii="Times New Roman" w:hAnsi="Times New Roman"/>
          <w:b/>
          <w:i w:val="false"/>
          <w:color w:val="000000"/>
          <w:sz w:val="22"/>
        </w:rPr>
        <w:t xml:space="preserve">(542) </w:t>
      </w:r>
      <w:r>
        <w:rPr>
          <w:rFonts w:ascii="Times New Roman" w:hAnsi="Times New Roman"/>
          <w:b/>
          <w:i w:val="false"/>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1027.4(1)</w:t>
      </w:r>
      <w:r>
        <w:rPr>
          <w:rFonts w:ascii="Times New Roman" w:hAnsi="Times New Roman"/>
          <w:b w:val="false"/>
          <w:i w:val="false"/>
          <w:color w:val="000000"/>
          <w:sz w:val="22"/>
        </w:rPr>
        <w:t> </w:t>
      </w:r>
      <w:r>
        <w:rPr>
          <w:rFonts w:ascii="Times New Roman" w:hAnsi="Times New Roman"/>
          <w:b w:val="false"/>
          <w:i w:val="false"/>
          <w:color w:val="000000"/>
          <w:sz w:val="22"/>
        </w:rPr>
        <w:t>The permit holder will submit an electronic online renewal by the June 30 deadline each year. Applications are deemed filed on the date of electronic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holder will list on the renewal application all states in which the applicant has applied for or holds a permit as a certified public accounting firm and list any past denial, revocation, suspension, refusal to renew or voluntary surrender to avoid disciplinary action of a permit to practice or practice privilege. Renewal applications include such additional information as the board needs, including all of the information described in rule </w:t>
      </w:r>
      <w:hyperlink r:id="rId4">
        <w:r>
          <w:rPr>
            <w:rStyle w:val="Hyperlink"/>
            <w:rFonts w:ascii="Times New Roman" w:hAnsi="Times New Roman"/>
            <w:b w:val="false"/>
            <w:i w:val="false"/>
            <w:color w:val="000000"/>
            <w:sz w:val="22"/>
          </w:rPr>
          <w:t>481—1027.3</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meaning of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a timely and sufficient renewal application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in electronic form on or before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as accurate through the online renewal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Fully completed and accompanied with the proper fee. The fee will be deemed improper if, for instance, the amount is incorrect, the fee was not included with the application, the credit card number provided by the applicant is incorrect, the date of expiration of a credit card is omitted or incorrect, the attempted credit card transaction is rejected, or the applicant’s check is returned for insufficient funds or a closed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27.3.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54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