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481—1027.3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Applicants for a firm permit to practice will provide information requested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w:t>
      </w:r>
      <w:r>
        <w:rPr>
          <w:rFonts w:ascii="Times New Roman" w:hAnsi="Times New Roman"/>
          <w:b w:val="false"/>
          <w:i w:val="false"/>
          <w:color w:val="000000"/>
          <w:sz w:val="22"/>
        </w:rPr>
        <w:t> </w:t>
      </w:r>
      <w:r>
        <w:rPr>
          <w:rFonts w:ascii="Times New Roman" w:hAnsi="Times New Roman"/>
          <w:b w:val="false"/>
          <w:i w:val="false"/>
          <w:color w:val="000000"/>
          <w:sz w:val="22"/>
        </w:rPr>
        <w:t>The lawful name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1027.3(2)</w:t>
      </w:r>
      <w:r>
        <w:rPr>
          <w:rFonts w:ascii="Times New Roman" w:hAnsi="Times New Roman"/>
          <w:b w:val="false"/>
          <w:i w:val="false"/>
          <w:color w:val="000000"/>
          <w:sz w:val="22"/>
        </w:rPr>
        <w:t> </w:t>
      </w:r>
      <w:r>
        <w:rPr>
          <w:rFonts w:ascii="Times New Roman" w:hAnsi="Times New Roman"/>
          <w:b w:val="false"/>
          <w:i w:val="false"/>
          <w:color w:val="000000"/>
          <w:sz w:val="22"/>
        </w:rPr>
        <w:t>The legal form and jurisdiction of the firm’s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principal place of business of the firm and each Iowa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1027.3(4)</w:t>
      </w:r>
      <w:r>
        <w:rPr>
          <w:rFonts w:ascii="Times New Roman" w:hAnsi="Times New Roman"/>
          <w:b w:val="false"/>
          <w:i w:val="false"/>
          <w:color w:val="000000"/>
          <w:sz w:val="22"/>
        </w:rPr>
        <w:t> </w:t>
      </w:r>
      <w:r>
        <w:rPr>
          <w:rFonts w:ascii="Times New Roman" w:hAnsi="Times New Roman"/>
          <w:b w:val="false"/>
          <w:i w:val="false"/>
          <w:color w:val="000000"/>
          <w:sz w:val="22"/>
        </w:rPr>
        <w:t>All jurisdictions in which the firm is licensed or has applied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1027.3(5)</w:t>
      </w:r>
      <w:r>
        <w:rPr>
          <w:rFonts w:ascii="Times New Roman" w:hAnsi="Times New Roman"/>
          <w:b w:val="false"/>
          <w:i w:val="false"/>
          <w:color w:val="000000"/>
          <w:sz w:val="22"/>
        </w:rPr>
        <w:t> </w:t>
      </w:r>
      <w:r>
        <w:rPr>
          <w:rFonts w:ascii="Times New Roman" w:hAnsi="Times New Roman"/>
          <w:b w:val="false"/>
          <w:i w:val="false"/>
          <w:color w:val="000000"/>
          <w:sz w:val="22"/>
        </w:rPr>
        <w:t>The names, licensure, and contact information for all persons responsible for supervising attest and compilation service or responsible for the proper licensure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1027.3(6)</w:t>
      </w:r>
      <w:r>
        <w:rPr>
          <w:rFonts w:ascii="Times New Roman" w:hAnsi="Times New Roman"/>
          <w:b w:val="false"/>
          <w:i w:val="false"/>
          <w:color w:val="000000"/>
          <w:sz w:val="22"/>
        </w:rPr>
        <w:t> </w:t>
      </w:r>
      <w:r>
        <w:rPr>
          <w:rFonts w:ascii="Times New Roman" w:hAnsi="Times New Roman"/>
          <w:b w:val="false"/>
          <w:i w:val="false"/>
          <w:color w:val="000000"/>
          <w:sz w:val="22"/>
        </w:rPr>
        <w:t>The highest level of public accounting services offered by the firm, such as compilation or attest.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1027.3(7)</w:t>
      </w:r>
      <w:r>
        <w:rPr>
          <w:rFonts w:ascii="Times New Roman" w:hAnsi="Times New Roman"/>
          <w:b w:val="false"/>
          <w:i w:val="false"/>
          <w:color w:val="000000"/>
          <w:sz w:val="22"/>
        </w:rPr>
        <w:t> </w:t>
      </w:r>
      <w:r>
        <w:rPr>
          <w:rFonts w:ascii="Times New Roman" w:hAnsi="Times New Roman"/>
          <w:b w:val="false"/>
          <w:i w:val="false"/>
          <w:color w:val="000000"/>
          <w:sz w:val="22"/>
        </w:rPr>
        <w:t>Evidence of satisfactory completion of the last firm peer review,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1027.3(8)</w:t>
      </w:r>
      <w:r>
        <w:rPr>
          <w:rFonts w:ascii="Times New Roman" w:hAnsi="Times New Roman"/>
          <w:b w:val="false"/>
          <w:i w:val="false"/>
          <w:color w:val="000000"/>
          <w:sz w:val="22"/>
        </w:rPr>
        <w:t> </w:t>
      </w:r>
      <w:r>
        <w:rPr>
          <w:rFonts w:ascii="Times New Roman" w:hAnsi="Times New Roman"/>
          <w:b w:val="false"/>
          <w:i w:val="false"/>
          <w:color w:val="000000"/>
          <w:sz w:val="22"/>
        </w:rPr>
        <w:t xml:space="preserve">Sufficient information from which the board can determine that a simple majority of owners hold a CPA certificate under Iowa Code section </w:t>
      </w:r>
      <w:hyperlink r:id="rId4">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hold a CPA certificate in another state and are eligible to exercise a practice privilege under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board reserves the right to request at any time a full list of owners, or a targeted sublist, such as a list of those persons who perform services from an Iowa office or those who perform attest or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affirmation described in </w:t>
      </w:r>
      <w:hyperlink r:id="rId7">
        <w:r>
          <w:rPr>
            <w:rStyle w:val="Hyperlink"/>
            <w:rFonts w:ascii="Times New Roman" w:hAnsi="Times New Roman"/>
            <w:b w:val="false"/>
            <w:i w:val="false"/>
            <w:color w:val="000000"/>
            <w:sz w:val="22"/>
          </w:rPr>
          <w:t>481—paragraph 1026.3(3)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1027.3(10)</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who are responsible for supervising attest services for the CPA firm or who sign or authorize someone to sign the accountant’s report on behalf of the CPA firm satisfy the experience or competency standards established by nationally recognized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1027.3(11)</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or LPAs who are responsible for supervising compilation services or who sign or authorize someone to sign the accountant’s compilation report on behalf of the firm comply with nationally recognized professional standards that are applicable to the compilation services performed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1027.3(12)</w:t>
      </w:r>
      <w:r>
        <w:rPr>
          <w:rFonts w:ascii="Times New Roman" w:hAnsi="Times New Roman"/>
          <w:b w:val="false"/>
          <w:i w:val="false"/>
          <w:color w:val="000000"/>
          <w:sz w:val="22"/>
        </w:rPr>
        <w:t> </w:t>
      </w:r>
      <w:r>
        <w:rPr>
          <w:rFonts w:ascii="Times New Roman" w:hAnsi="Times New Roman"/>
          <w:b w:val="false"/>
          <w:i w:val="false"/>
          <w:color w:val="000000"/>
          <w:sz w:val="22"/>
        </w:rPr>
        <w:t>Affirmation that all nonlicensee owners are active participants in the firm or affiliated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1027.3(13)</w:t>
      </w:r>
      <w:r>
        <w:rPr>
          <w:rFonts w:ascii="Times New Roman" w:hAnsi="Times New Roman"/>
          <w:b w:val="false"/>
          <w:i w:val="false"/>
          <w:color w:val="000000"/>
          <w:sz w:val="22"/>
        </w:rPr>
        <w:t> </w:t>
      </w:r>
      <w:r>
        <w:rPr>
          <w:rFonts w:ascii="Times New Roman" w:hAnsi="Times New Roman"/>
          <w:b w:val="false"/>
          <w:i w:val="false"/>
          <w:color w:val="000000"/>
          <w:sz w:val="22"/>
        </w:rPr>
        <w:t>Affirmation that the firm and its licensed or unlicensed owners will comply with all applicable Iowa laws and rules, including rules of professional conduct, when practicing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1027.3(14)</w:t>
      </w:r>
      <w:r>
        <w:rPr>
          <w:rFonts w:ascii="Times New Roman" w:hAnsi="Times New Roman"/>
          <w:b w:val="false"/>
          <w:i w:val="false"/>
          <w:color w:val="000000"/>
          <w:sz w:val="22"/>
        </w:rPr>
        <w:t> </w:t>
      </w:r>
      <w:r>
        <w:rPr>
          <w:rFonts w:ascii="Times New Roman" w:hAnsi="Times New Roman"/>
          <w:b w:val="false"/>
          <w:i w:val="false"/>
          <w:color w:val="000000"/>
          <w:sz w:val="22"/>
        </w:rPr>
        <w:t>Details of any past denial, cancellation, revocation, suspension, refusal to renew, or voluntary surrender of a professional license of any kind, authority to practice, or practice privilege by the board or another state agency in any jurisdiction, a federal agency, or the PCAOB, regarding the firm and the firm’s current owners (e.g., partners, shareholders,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any past felony conviction or the conviction of any crime, any element of which is dishonesty or fraud, as provided in Iowa Code section </w:t>
      </w:r>
      <w:hyperlink r:id="rId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under the laws of any state or the United States, regarding the firm and the firm’s current owners (e.g., partners, shareholders, 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6.pdf" Type="http://schemas.openxmlformats.org/officeDocument/2006/relationships/hyperlink" Id="rId4"/>
    <Relationship TargetMode="External" Target="https://www.legis.iowa.gov/docs/ico/chapter/542.19.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ac/rule/481.1026.3.pdf" Type="http://schemas.openxmlformats.org/officeDocument/2006/relationships/hyperlink" Id="rId7"/>
    <Relationship TargetMode="External" Target="https://www.legis.iowa.gov/docs/ico/chapter/542.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