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481—1021.1</w:t>
      </w:r>
      <w:r>
        <w:rPr>
          <w:rFonts w:ascii="Times New Roman" w:hAnsi="Times New Roman"/>
          <w:b/>
          <w:i w:val="false"/>
          <w:color w:val="000000"/>
          <w:sz w:val="22"/>
        </w:rPr>
        <w:t xml:space="preserve">(542) </w:t>
      </w:r>
      <w:r>
        <w:rPr>
          <w:rFonts w:ascii="Times New Roman" w:hAnsi="Times New Roman"/>
          <w:b/>
          <w:i w:val="false"/>
          <w:color w:val="000000"/>
          <w:sz w:val="22"/>
        </w:rPr>
        <w:t xml:space="preserve">Definitions. </w:t>
      </w:r>
      <w:r>
        <w:rPr>
          <w:rFonts w:ascii="Times New Roman" w:hAnsi="Times New Roman"/>
          <w:b w:val="false"/>
          <w:i w:val="false"/>
          <w:color w:val="000000"/>
          <w:sz w:val="22"/>
        </w:rPr>
        <w:t>The following definitions apply to the rules of the board of accountancy.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“Act”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Accountancy Act of 2001 as amended by </w:t>
      </w:r>
      <w:r>
        <w:rPr>
          <w:rFonts w:ascii="Times New Roman" w:hAnsi="Times New Roman"/>
          <w:b w:val="false"/>
          <w:i w:val="false"/>
          <w:color w:val="000000"/>
          <w:sz w:val="22"/>
        </w:rPr>
        <w:t>2008 Iowa Acts, chapter 1106</w:t>
      </w:r>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“AICPA”</w:t>
      </w:r>
      <w:r>
        <w:rPr>
          <w:rFonts w:ascii="Times New Roman" w:hAnsi="Times New Roman"/>
          <w:b w:val="false"/>
          <w:i w:val="false"/>
          <w:color w:val="000000"/>
          <w:sz w:val="22"/>
        </w:rPr>
        <w:t> </w:t>
      </w:r>
      <w:r>
        <w:rPr>
          <w:rFonts w:ascii="Times New Roman" w:hAnsi="Times New Roman"/>
          <w:b w:val="false"/>
          <w:i w:val="false"/>
          <w:color w:val="000000"/>
          <w:sz w:val="22"/>
        </w:rPr>
        <w:t>means the American Institute of Certified Public Accountants.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“AICPA Code of Professional Conduct”</w:t>
      </w:r>
      <w:r>
        <w:rPr>
          <w:rFonts w:ascii="Times New Roman" w:hAnsi="Times New Roman"/>
          <w:b w:val="false"/>
          <w:i w:val="false"/>
          <w:color w:val="000000"/>
          <w:sz w:val="22"/>
        </w:rPr>
        <w:t> </w:t>
      </w:r>
      <w:r>
        <w:rPr>
          <w:rFonts w:ascii="Times New Roman" w:hAnsi="Times New Roman"/>
          <w:b w:val="false"/>
          <w:i w:val="false"/>
          <w:color w:val="000000"/>
          <w:sz w:val="22"/>
        </w:rPr>
        <w:t>means the AICPA code of professional conduct as amended through January 1,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“Attest”</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“attest service”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4">
        <w:r>
          <w:rPr>
            <w:rStyle w:val="Hyperlink"/>
            <w:rFonts w:ascii="Times New Roman" w:hAnsi="Times New Roman"/>
            <w:b w:val="false"/>
            <w:i w:val="false"/>
            <w:color w:val="000000"/>
            <w:sz w:val="22"/>
          </w:rPr>
          <w:t>542.3(1)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“Attest engagement team”</w:t>
      </w:r>
      <w:r>
        <w:rPr>
          <w:rFonts w:ascii="Times New Roman" w:hAnsi="Times New Roman"/>
          <w:b w:val="false"/>
          <w:i w:val="false"/>
          <w:color w:val="000000"/>
          <w:sz w:val="22"/>
        </w:rPr>
        <w:t> </w:t>
      </w:r>
      <w:r>
        <w:rPr>
          <w:rFonts w:ascii="Times New Roman" w:hAnsi="Times New Roman"/>
          <w:b w:val="false"/>
          <w:i w:val="false"/>
          <w:color w:val="000000"/>
          <w:sz w:val="22"/>
        </w:rPr>
        <w:t>means the team of individuals participating in attest service, including those who perform concurring and second partner reviews. The attest engagement team includes all employees and contractors retained by the firm who participate in attest service, irrespective of their functional classification.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“Audit”</w:t>
      </w:r>
      <w:r>
        <w:rPr>
          <w:rFonts w:ascii="Times New Roman" w:hAnsi="Times New Roman"/>
          <w:b w:val="false"/>
          <w:i w:val="false"/>
          <w:color w:val="000000"/>
          <w:sz w:val="22"/>
        </w:rPr>
        <w:t> </w:t>
      </w:r>
      <w:r>
        <w:rPr>
          <w:rFonts w:ascii="Times New Roman" w:hAnsi="Times New Roman"/>
          <w:b w:val="false"/>
          <w:i w:val="false"/>
          <w:color w:val="000000"/>
          <w:sz w:val="22"/>
        </w:rPr>
        <w:t>means the procedures performed in accordance with applicable auditing standards for the purpose of expressing or disclaiming an opinion on the fairness with which the historical financial or other information is presented in conformity with generally accepted accounting principles, another comprehensive basis of accounting, or a basis of accounting described in the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“Board”</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5">
        <w:r>
          <w:rPr>
            <w:rStyle w:val="Hyperlink"/>
            <w:rFonts w:ascii="Times New Roman" w:hAnsi="Times New Roman"/>
            <w:b w:val="false"/>
            <w:i w:val="false"/>
            <w:color w:val="000000"/>
            <w:sz w:val="22"/>
          </w:rPr>
          <w:t>542.3(2)</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“Certificate”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6">
        <w:r>
          <w:rPr>
            <w:rStyle w:val="Hyperlink"/>
            <w:rFonts w:ascii="Times New Roman" w:hAnsi="Times New Roman"/>
            <w:b w:val="false"/>
            <w:i w:val="false"/>
            <w:color w:val="000000"/>
            <w:sz w:val="22"/>
          </w:rPr>
          <w:t>542.3(3)</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“Client”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7">
        <w:r>
          <w:rPr>
            <w:rStyle w:val="Hyperlink"/>
            <w:rFonts w:ascii="Times New Roman" w:hAnsi="Times New Roman"/>
            <w:b w:val="false"/>
            <w:i w:val="false"/>
            <w:color w:val="000000"/>
            <w:sz w:val="22"/>
          </w:rPr>
          <w:t>542.3(6)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“Commission”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8">
        <w:r>
          <w:rPr>
            <w:rStyle w:val="Hyperlink"/>
            <w:rFonts w:ascii="Times New Roman" w:hAnsi="Times New Roman"/>
            <w:b w:val="false"/>
            <w:i w:val="false"/>
            <w:color w:val="000000"/>
            <w:sz w:val="22"/>
          </w:rPr>
          <w:t>542.3(7)</w:t>
        </w:r>
      </w:hyperlink>
      <w:r>
        <w:rPr>
          <w:rFonts w:ascii="Times New Roman" w:hAnsi="Times New Roman"/>
          <w:b w:val="false"/>
          <w:i w:val="false"/>
          <w:color w:val="000000"/>
          <w:sz w:val="22"/>
        </w:rPr>
        <w:t xml:space="preserve"> and includes any form of compensation in a fixed or variable amount or percentage received for selling, recommending or referring any product or service of another, including a referral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“Compensation”</w:t>
      </w:r>
      <w:r>
        <w:rPr>
          <w:rFonts w:ascii="Times New Roman" w:hAnsi="Times New Roman"/>
          <w:b w:val="false"/>
          <w:i w:val="false"/>
          <w:color w:val="000000"/>
          <w:sz w:val="22"/>
        </w:rPr>
        <w:t> </w:t>
      </w:r>
      <w:r>
        <w:rPr>
          <w:rFonts w:ascii="Times New Roman" w:hAnsi="Times New Roman"/>
          <w:b w:val="false"/>
          <w:i w:val="false"/>
          <w:color w:val="000000"/>
          <w:sz w:val="22"/>
        </w:rPr>
        <w:t>means anything of value received by a CPA or LPA while practicing public accounting for selling, recommending or referring a product or service of another.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“Compilation”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9">
        <w:r>
          <w:rPr>
            <w:rStyle w:val="Hyperlink"/>
            <w:rFonts w:ascii="Times New Roman" w:hAnsi="Times New Roman"/>
            <w:b w:val="false"/>
            <w:i w:val="false"/>
            <w:color w:val="000000"/>
            <w:sz w:val="22"/>
          </w:rPr>
          <w:t>542.3(8)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“Contingent fee”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10">
        <w:r>
          <w:rPr>
            <w:rStyle w:val="Hyperlink"/>
            <w:rFonts w:ascii="Times New Roman" w:hAnsi="Times New Roman"/>
            <w:b w:val="false"/>
            <w:i w:val="false"/>
            <w:color w:val="000000"/>
            <w:sz w:val="22"/>
          </w:rPr>
          <w:t>542.3(9)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“Certified public accountant”</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“CPA”</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11">
        <w:r>
          <w:rPr>
            <w:rStyle w:val="Hyperlink"/>
            <w:rFonts w:ascii="Times New Roman" w:hAnsi="Times New Roman"/>
            <w:b w:val="false"/>
            <w:i w:val="false"/>
            <w:color w:val="000000"/>
            <w:sz w:val="22"/>
          </w:rPr>
          <w:t>542.3(4)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“Examination of prospective financial information”</w:t>
      </w:r>
      <w:r>
        <w:rPr>
          <w:rFonts w:ascii="Times New Roman" w:hAnsi="Times New Roman"/>
          <w:b w:val="false"/>
          <w:i w:val="false"/>
          <w:color w:val="000000"/>
          <w:sz w:val="22"/>
        </w:rPr>
        <w:t> </w:t>
      </w:r>
      <w:r>
        <w:rPr>
          <w:rFonts w:ascii="Times New Roman" w:hAnsi="Times New Roman"/>
          <w:b w:val="false"/>
          <w:i w:val="false"/>
          <w:color w:val="000000"/>
          <w:sz w:val="22"/>
        </w:rPr>
        <w:t>means an evaluation by a CPA of a forecast or projection, the support underlying the assumptions in the forecast or projection, whether the presentation of the forecast or projection is in conformity with AICPA presentation guidelines, and whether the assumptions in the forecast or projection provide a reasonable basis for the projection or forecast.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“FASB”</w:t>
      </w:r>
      <w:r>
        <w:rPr>
          <w:rFonts w:ascii="Times New Roman" w:hAnsi="Times New Roman"/>
          <w:b w:val="false"/>
          <w:i w:val="false"/>
          <w:color w:val="000000"/>
          <w:sz w:val="22"/>
        </w:rPr>
        <w:t> </w:t>
      </w:r>
      <w:r>
        <w:rPr>
          <w:rFonts w:ascii="Times New Roman" w:hAnsi="Times New Roman"/>
          <w:b w:val="false"/>
          <w:i w:val="false"/>
          <w:color w:val="000000"/>
          <w:sz w:val="22"/>
        </w:rPr>
        <w:t>means the Financial Accounting Standards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“Financial statement”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presentation of financial data, including accompanying notes derived from accounting records and intended to communicate an entity’s economic resources or obligations at a point in time or the changes therein for a period of time in conformity with a comprehensive basis of accounting, but does not include incidental financial data included in management advisory services reports to support recommendations to a client, nor does it include tax returns and supporting documents.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“Firm”</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sole proprietorship, partnership, corporation, professional corporation, professional limited liability company, limited liability partnership or any other form of organization issued a permit to practice as a firm under Iowa Code section </w:t>
      </w:r>
      <w:hyperlink r:id="rId12">
        <w:r>
          <w:rPr>
            <w:rStyle w:val="Hyperlink"/>
            <w:rFonts w:ascii="Times New Roman" w:hAnsi="Times New Roman"/>
            <w:b w:val="false"/>
            <w:i w:val="false"/>
            <w:color w:val="000000"/>
            <w:sz w:val="22"/>
          </w:rPr>
          <w:t>542.7</w:t>
        </w:r>
      </w:hyperlink>
      <w:r>
        <w:rPr>
          <w:rFonts w:ascii="Times New Roman" w:hAnsi="Times New Roman"/>
          <w:b w:val="false"/>
          <w:i w:val="false"/>
          <w:color w:val="000000"/>
          <w:sz w:val="22"/>
        </w:rPr>
        <w:t xml:space="preserve"> or </w:t>
      </w:r>
      <w:hyperlink r:id="rId13">
        <w:r>
          <w:rPr>
            <w:rStyle w:val="Hyperlink"/>
            <w:rFonts w:ascii="Times New Roman" w:hAnsi="Times New Roman"/>
            <w:b w:val="false"/>
            <w:i w:val="false"/>
            <w:color w:val="000000"/>
            <w:sz w:val="22"/>
          </w:rPr>
          <w:t>542.8</w:t>
        </w:r>
      </w:hyperlink>
      <w:r>
        <w:rPr>
          <w:rFonts w:ascii="Times New Roman" w:hAnsi="Times New Roman"/>
          <w:b w:val="false"/>
          <w:i w:val="false"/>
          <w:color w:val="000000"/>
          <w:sz w:val="22"/>
        </w:rPr>
        <w:t xml:space="preserve"> or the office of the auditor of state, state of Iowa, when the auditor of state is a certified public accountant.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“Forecast”</w:t>
      </w:r>
      <w:r>
        <w:rPr>
          <w:rFonts w:ascii="Times New Roman" w:hAnsi="Times New Roman"/>
          <w:b w:val="false"/>
          <w:i w:val="false"/>
          <w:color w:val="000000"/>
          <w:sz w:val="22"/>
        </w:rPr>
        <w:t> </w:t>
      </w:r>
      <w:r>
        <w:rPr>
          <w:rFonts w:ascii="Times New Roman" w:hAnsi="Times New Roman"/>
          <w:b w:val="false"/>
          <w:i w:val="false"/>
          <w:color w:val="000000"/>
          <w:sz w:val="22"/>
        </w:rPr>
        <w:t>means prospective financial statements that present, to the best of the responsible party’s knowledge and belief, an entity’s expected financial position, results of operations, and changes in financial position or cash flows that are based on the responsible party’s assumptions reflecting conditions it expects to exist and the course of action it expects to take.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“GASB”</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Governmental Accounting Standards Board.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“Home office”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14">
        <w:r>
          <w:rPr>
            <w:rStyle w:val="Hyperlink"/>
            <w:rFonts w:ascii="Times New Roman" w:hAnsi="Times New Roman"/>
            <w:b w:val="false"/>
            <w:i w:val="false"/>
            <w:color w:val="000000"/>
            <w:sz w:val="22"/>
          </w:rPr>
          <w:t>542.3(10)</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“IASB”</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International Accounting Standards Board.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“IFRS”</w:t>
      </w:r>
      <w:r>
        <w:rPr>
          <w:rFonts w:ascii="Times New Roman" w:hAnsi="Times New Roman"/>
          <w:b w:val="false"/>
          <w:i w:val="false"/>
          <w:color w:val="000000"/>
          <w:sz w:val="22"/>
        </w:rPr>
        <w:t> </w:t>
      </w:r>
      <w:r>
        <w:rPr>
          <w:rFonts w:ascii="Times New Roman" w:hAnsi="Times New Roman"/>
          <w:b w:val="false"/>
          <w:i w:val="false"/>
          <w:color w:val="000000"/>
          <w:sz w:val="22"/>
        </w:rPr>
        <w:t>means International Financial Reporting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“IRS”</w:t>
      </w:r>
      <w:r>
        <w:rPr>
          <w:rFonts w:ascii="Times New Roman" w:hAnsi="Times New Roman"/>
          <w:b w:val="false"/>
          <w:i w:val="false"/>
          <w:color w:val="000000"/>
          <w:sz w:val="22"/>
        </w:rPr>
        <w:t> </w:t>
      </w:r>
      <w:r>
        <w:rPr>
          <w:rFonts w:ascii="Times New Roman" w:hAnsi="Times New Roman"/>
          <w:b w:val="false"/>
          <w:i w:val="false"/>
          <w:color w:val="000000"/>
          <w:sz w:val="22"/>
        </w:rPr>
        <w:t>means the Internal Revenue Service, United States Department of the Treasury.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“License”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15">
        <w:r>
          <w:rPr>
            <w:rStyle w:val="Hyperlink"/>
            <w:rFonts w:ascii="Times New Roman" w:hAnsi="Times New Roman"/>
            <w:b w:val="false"/>
            <w:i w:val="false"/>
            <w:color w:val="000000"/>
            <w:sz w:val="22"/>
          </w:rPr>
          <w:t>542.3(11)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“Licensed public accountant”</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“LPA”</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16">
        <w:r>
          <w:rPr>
            <w:rStyle w:val="Hyperlink"/>
            <w:rFonts w:ascii="Times New Roman" w:hAnsi="Times New Roman"/>
            <w:b w:val="false"/>
            <w:i w:val="false"/>
            <w:color w:val="000000"/>
            <w:sz w:val="22"/>
          </w:rPr>
          <w:t>542.3(12)</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“Licensed public accounting firm”</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17">
        <w:r>
          <w:rPr>
            <w:rStyle w:val="Hyperlink"/>
            <w:rFonts w:ascii="Times New Roman" w:hAnsi="Times New Roman"/>
            <w:b w:val="false"/>
            <w:i w:val="false"/>
            <w:color w:val="000000"/>
            <w:sz w:val="22"/>
          </w:rPr>
          <w:t>542.3(13)</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“Licensee”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18">
        <w:r>
          <w:rPr>
            <w:rStyle w:val="Hyperlink"/>
            <w:rFonts w:ascii="Times New Roman" w:hAnsi="Times New Roman"/>
            <w:b w:val="false"/>
            <w:i w:val="false"/>
            <w:color w:val="000000"/>
            <w:sz w:val="22"/>
          </w:rPr>
          <w:t>542.3(14)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“Managing partner,” “managing shareholder,”</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“managing member”</w:t>
      </w:r>
      <w:r>
        <w:rPr>
          <w:rFonts w:ascii="Times New Roman" w:hAnsi="Times New Roman"/>
          <w:b w:val="false"/>
          <w:i w:val="false"/>
          <w:color w:val="000000"/>
          <w:sz w:val="22"/>
        </w:rPr>
        <w:t> </w:t>
      </w:r>
      <w:r>
        <w:rPr>
          <w:rFonts w:ascii="Times New Roman" w:hAnsi="Times New Roman"/>
          <w:b w:val="false"/>
          <w:i w:val="false"/>
          <w:color w:val="000000"/>
          <w:sz w:val="22"/>
        </w:rPr>
        <w:t>means the designated individual with ultimate responsibility for the operation of a firm’s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“NASBA”</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19">
        <w:r>
          <w:rPr>
            <w:rStyle w:val="Hyperlink"/>
            <w:rFonts w:ascii="Times New Roman" w:hAnsi="Times New Roman"/>
            <w:b w:val="false"/>
            <w:i w:val="false"/>
            <w:color w:val="000000"/>
            <w:sz w:val="22"/>
          </w:rPr>
          <w:t>542.3(17)</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“NSA”</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National Society of Accountants.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“Office”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20">
        <w:r>
          <w:rPr>
            <w:rStyle w:val="Hyperlink"/>
            <w:rFonts w:ascii="Times New Roman" w:hAnsi="Times New Roman"/>
            <w:b w:val="false"/>
            <w:i w:val="false"/>
            <w:color w:val="000000"/>
            <w:sz w:val="22"/>
          </w:rPr>
          <w:t>542.3(18)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“Owner”</w:t>
      </w:r>
      <w:r>
        <w:rPr>
          <w:rFonts w:ascii="Times New Roman" w:hAnsi="Times New Roman"/>
          <w:b w:val="false"/>
          <w:i w:val="false"/>
          <w:color w:val="000000"/>
          <w:sz w:val="22"/>
        </w:rPr>
        <w:t> </w:t>
      </w:r>
      <w:r>
        <w:rPr>
          <w:rFonts w:ascii="Times New Roman" w:hAnsi="Times New Roman"/>
          <w:b w:val="false"/>
          <w:i w:val="false"/>
          <w:color w:val="000000"/>
          <w:sz w:val="22"/>
        </w:rPr>
        <w:t>means any person who has equity ownership interest in a CPA or LPA firm.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“PCAOB”</w:t>
      </w:r>
      <w:r>
        <w:rPr>
          <w:rFonts w:ascii="Times New Roman" w:hAnsi="Times New Roman"/>
          <w:b w:val="false"/>
          <w:i w:val="false"/>
          <w:color w:val="000000"/>
          <w:sz w:val="22"/>
        </w:rPr>
        <w:t> </w:t>
      </w:r>
      <w:r>
        <w:rPr>
          <w:rFonts w:ascii="Times New Roman" w:hAnsi="Times New Roman"/>
          <w:b w:val="false"/>
          <w:i w:val="false"/>
          <w:color w:val="000000"/>
          <w:sz w:val="22"/>
        </w:rPr>
        <w:t>means the Public Company Accounting Oversight Board created by the Sarbanes-Oxley Act of 2002.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“Peer review,”</w:t>
      </w:r>
      <w:r>
        <w:rPr>
          <w:rFonts w:ascii="Times New Roman" w:hAnsi="Times New Roman"/>
          <w:b w:val="false"/>
          <w:i w:val="false"/>
          <w:color w:val="000000"/>
          <w:sz w:val="22"/>
        </w:rPr>
        <w:t> </w:t>
      </w:r>
      <w:r>
        <w:rPr>
          <w:rFonts w:ascii="Times New Roman" w:hAnsi="Times New Roman"/>
          <w:b w:val="false"/>
          <w:i w:val="false"/>
          <w:color w:val="000000"/>
          <w:sz w:val="22"/>
        </w:rPr>
        <w:t>as used in 193A—</w:t>
      </w:r>
      <w:hyperlink r:id="rId21">
        <w:r>
          <w:rPr>
            <w:rStyle w:val="Hyperlink"/>
            <w:rFonts w:ascii="Times New Roman" w:hAnsi="Times New Roman"/>
            <w:b w:val="false"/>
            <w:i w:val="false"/>
            <w:color w:val="000000"/>
            <w:sz w:val="22"/>
          </w:rPr>
          <w:t>Chapters 11</w:t>
        </w:r>
      </w:hyperlink>
      <w:r>
        <w:rPr>
          <w:rFonts w:ascii="Times New Roman" w:hAnsi="Times New Roman"/>
          <w:b w:val="false"/>
          <w:i w:val="false"/>
          <w:color w:val="000000"/>
          <w:sz w:val="22"/>
        </w:rPr>
        <w:t xml:space="preserve"> and </w:t>
      </w:r>
      <w:hyperlink r:id="rId22">
        <w:r>
          <w:rPr>
            <w:rStyle w:val="Hyperlink"/>
            <w:rFonts w:ascii="Times New Roman" w:hAnsi="Times New Roman"/>
            <w:b w:val="false"/>
            <w:i w:val="false"/>
            <w:color w:val="000000"/>
            <w:sz w:val="22"/>
          </w:rPr>
          <w:t>12</w:t>
        </w:r>
      </w:hyperlink>
      <w:r>
        <w:rPr>
          <w:rFonts w:ascii="Times New Roman" w:hAnsi="Times New Roman"/>
          <w:b w:val="false"/>
          <w:i w:val="false"/>
          <w:color w:val="000000"/>
          <w:sz w:val="22"/>
        </w:rPr>
        <w:t xml:space="preserve">, means the same as defined in Iowa Code section </w:t>
      </w:r>
      <w:hyperlink r:id="rId23">
        <w:r>
          <w:rPr>
            <w:rStyle w:val="Hyperlink"/>
            <w:rFonts w:ascii="Times New Roman" w:hAnsi="Times New Roman"/>
            <w:b w:val="false"/>
            <w:i w:val="false"/>
            <w:color w:val="000000"/>
            <w:sz w:val="22"/>
          </w:rPr>
          <w:t>542.3(19)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“Person,”</w:t>
      </w:r>
      <w:r>
        <w:rPr>
          <w:rFonts w:ascii="Times New Roman" w:hAnsi="Times New Roman"/>
          <w:b w:val="false"/>
          <w:i w:val="false"/>
          <w:color w:val="000000"/>
          <w:sz w:val="22"/>
        </w:rPr>
        <w:t> </w:t>
      </w:r>
      <w:r>
        <w:rPr>
          <w:rFonts w:ascii="Times New Roman" w:hAnsi="Times New Roman"/>
          <w:b w:val="false"/>
          <w:i w:val="false"/>
          <w:color w:val="000000"/>
          <w:sz w:val="22"/>
        </w:rPr>
        <w:t>unless the context indicates otherwise, means individuals, sole proprietorships, partnerships, corporations, limited liability companies, limited liability partnerships or other forms of entities.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“Person associated with a CPA or LPA”</w:t>
      </w:r>
      <w:r>
        <w:rPr>
          <w:rFonts w:ascii="Times New Roman" w:hAnsi="Times New Roman"/>
          <w:b w:val="false"/>
          <w:i w:val="false"/>
          <w:color w:val="000000"/>
          <w:sz w:val="22"/>
        </w:rPr>
        <w:t> </w:t>
      </w:r>
      <w:r>
        <w:rPr>
          <w:rFonts w:ascii="Times New Roman" w:hAnsi="Times New Roman"/>
          <w:b w:val="false"/>
          <w:i w:val="false"/>
          <w:color w:val="000000"/>
          <w:sz w:val="22"/>
        </w:rPr>
        <w:t>means any owner, partner, shareholder, member, employee, assistant, or independent contractor of a CPA or LPA firm.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“Practice of public accounting”</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24">
        <w:r>
          <w:rPr>
            <w:rStyle w:val="Hyperlink"/>
            <w:rFonts w:ascii="Times New Roman" w:hAnsi="Times New Roman"/>
            <w:b w:val="false"/>
            <w:i w:val="false"/>
            <w:color w:val="000000"/>
            <w:sz w:val="22"/>
          </w:rPr>
          <w:t>542.3(24)</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“Practice privilege”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25">
        <w:r>
          <w:rPr>
            <w:rStyle w:val="Hyperlink"/>
            <w:rFonts w:ascii="Times New Roman" w:hAnsi="Times New Roman"/>
            <w:b w:val="false"/>
            <w:i w:val="false"/>
            <w:color w:val="000000"/>
            <w:sz w:val="22"/>
          </w:rPr>
          <w:t>542.3(25)</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“Principal place of business”</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26">
        <w:r>
          <w:rPr>
            <w:rStyle w:val="Hyperlink"/>
            <w:rFonts w:ascii="Times New Roman" w:hAnsi="Times New Roman"/>
            <w:b w:val="false"/>
            <w:i w:val="false"/>
            <w:color w:val="000000"/>
            <w:sz w:val="22"/>
          </w:rPr>
          <w:t>542.3(26)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“Projection”</w:t>
      </w:r>
      <w:r>
        <w:rPr>
          <w:rFonts w:ascii="Times New Roman" w:hAnsi="Times New Roman"/>
          <w:b w:val="false"/>
          <w:i w:val="false"/>
          <w:color w:val="000000"/>
          <w:sz w:val="22"/>
        </w:rPr>
        <w:t> </w:t>
      </w:r>
      <w:r>
        <w:rPr>
          <w:rFonts w:ascii="Times New Roman" w:hAnsi="Times New Roman"/>
          <w:b w:val="false"/>
          <w:i w:val="false"/>
          <w:color w:val="000000"/>
          <w:sz w:val="22"/>
        </w:rPr>
        <w:t>means prospective financial statements that present, to the best of the responsible party’s knowledge and belief given one or more hypothetical assumptions, an entity’s expected financial position, results of operations, and changes in financial position or cash flows that are based on the responsible party’s assumptions reflecting conditions it expects would exist and the course of action it expects would be taken given such hypothetical assumptions.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“Report”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27">
        <w:r>
          <w:rPr>
            <w:rStyle w:val="Hyperlink"/>
            <w:rFonts w:ascii="Times New Roman" w:hAnsi="Times New Roman"/>
            <w:b w:val="false"/>
            <w:i w:val="false"/>
            <w:color w:val="000000"/>
            <w:sz w:val="22"/>
          </w:rPr>
          <w:t>542.3(27)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“Respondent”</w:t>
      </w:r>
      <w:r>
        <w:rPr>
          <w:rFonts w:ascii="Times New Roman" w:hAnsi="Times New Roman"/>
          <w:b w:val="false"/>
          <w:i w:val="false"/>
          <w:color w:val="000000"/>
          <w:sz w:val="22"/>
        </w:rPr>
        <w:t> </w:t>
      </w:r>
      <w:r>
        <w:rPr>
          <w:rFonts w:ascii="Times New Roman" w:hAnsi="Times New Roman"/>
          <w:b w:val="false"/>
          <w:i w:val="false"/>
          <w:color w:val="000000"/>
          <w:sz w:val="22"/>
        </w:rPr>
        <w:t>means any person against whom a formal statement of charges has been filed.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“Review”</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Iowa Code section </w:t>
      </w:r>
      <w:hyperlink r:id="rId28">
        <w:r>
          <w:rPr>
            <w:rStyle w:val="Hyperlink"/>
            <w:rFonts w:ascii="Times New Roman" w:hAnsi="Times New Roman"/>
            <w:b w:val="false"/>
            <w:i w:val="false"/>
            <w:color w:val="000000"/>
            <w:sz w:val="22"/>
          </w:rPr>
          <w:t>542.3(1)</w:t>
        </w:r>
      </w:hyperlink>
      <w:r>
        <w:rPr>
          <w:rFonts w:ascii="Times New Roman" w:hAnsi="Times New Roman"/>
          <w:b w:val="false"/>
          <w:i/>
          <w:color w:val="000000"/>
          <w:sz w:val="22"/>
        </w:rPr>
        <w:t>“a”</w:t>
      </w:r>
      <w:r>
        <w:rPr>
          <w:rFonts w:ascii="Times New Roman" w:hAnsi="Times New Roman"/>
          <w:b w:val="false"/>
          <w:i w:val="false"/>
          <w:color w:val="000000"/>
          <w:sz w:val="22"/>
        </w:rPr>
        <w:t>(2).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“SAS”</w:t>
      </w:r>
      <w:r>
        <w:rPr>
          <w:rFonts w:ascii="Times New Roman" w:hAnsi="Times New Roman"/>
          <w:b w:val="false"/>
          <w:i w:val="false"/>
          <w:color w:val="000000"/>
          <w:sz w:val="22"/>
        </w:rPr>
        <w:t> </w:t>
      </w:r>
      <w:r>
        <w:rPr>
          <w:rFonts w:ascii="Times New Roman" w:hAnsi="Times New Roman"/>
          <w:b w:val="false"/>
          <w:i w:val="false"/>
          <w:color w:val="000000"/>
          <w:sz w:val="22"/>
        </w:rPr>
        <w:t>means statements on auditing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“SEC”</w:t>
      </w:r>
      <w:r>
        <w:rPr>
          <w:rFonts w:ascii="Times New Roman" w:hAnsi="Times New Roman"/>
          <w:b w:val="false"/>
          <w:i w:val="false"/>
          <w:color w:val="000000"/>
          <w:sz w:val="22"/>
        </w:rPr>
        <w:t> </w:t>
      </w:r>
      <w:r>
        <w:rPr>
          <w:rFonts w:ascii="Times New Roman" w:hAnsi="Times New Roman"/>
          <w:b w:val="false"/>
          <w:i w:val="false"/>
          <w:color w:val="000000"/>
          <w:sz w:val="22"/>
        </w:rPr>
        <w:t>means the United States Securities and Exchange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“SSARS”</w:t>
      </w:r>
      <w:r>
        <w:rPr>
          <w:rFonts w:ascii="Times New Roman" w:hAnsi="Times New Roman"/>
          <w:b w:val="false"/>
          <w:i w:val="false"/>
          <w:color w:val="000000"/>
          <w:sz w:val="22"/>
        </w:rPr>
        <w:t> </w:t>
      </w:r>
      <w:r>
        <w:rPr>
          <w:rFonts w:ascii="Times New Roman" w:hAnsi="Times New Roman"/>
          <w:b w:val="false"/>
          <w:i w:val="false"/>
          <w:color w:val="000000"/>
          <w:sz w:val="22"/>
        </w:rPr>
        <w:t>means the statements on standards for accounting and review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“State”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29">
        <w:r>
          <w:rPr>
            <w:rStyle w:val="Hyperlink"/>
            <w:rFonts w:ascii="Times New Roman" w:hAnsi="Times New Roman"/>
            <w:b w:val="false"/>
            <w:i w:val="false"/>
            <w:color w:val="000000"/>
            <w:sz w:val="22"/>
          </w:rPr>
          <w:t>542.3(28)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“Substantial equivalency”</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30">
        <w:r>
          <w:rPr>
            <w:rStyle w:val="Hyperlink"/>
            <w:rFonts w:ascii="Times New Roman" w:hAnsi="Times New Roman"/>
            <w:b w:val="false"/>
            <w:i w:val="false"/>
            <w:color w:val="000000"/>
            <w:sz w:val="22"/>
          </w:rPr>
          <w:t>542.3(29)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“Year,”</w:t>
      </w:r>
      <w:r>
        <w:rPr>
          <w:rFonts w:ascii="Times New Roman" w:hAnsi="Times New Roman"/>
          <w:b w:val="false"/>
          <w:i w:val="false"/>
          <w:color w:val="000000"/>
          <w:sz w:val="22"/>
        </w:rPr>
        <w:t> </w:t>
      </w:r>
      <w:r>
        <w:rPr>
          <w:rFonts w:ascii="Times New Roman" w:hAnsi="Times New Roman"/>
          <w:b w:val="false"/>
          <w:i w:val="false"/>
          <w:color w:val="000000"/>
          <w:sz w:val="22"/>
        </w:rPr>
        <w:t>when used in the context as a time measurement of experience in accounting work, means a period of 365 days.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7677C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31"/>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542.3.pdf" Type="http://schemas.openxmlformats.org/officeDocument/2006/relationships/hyperlink" Id="rId4"/>
    <Relationship TargetMode="External" Target="https://www.legis.iowa.gov/docs/ico/chapter/542.3.pdf" Type="http://schemas.openxmlformats.org/officeDocument/2006/relationships/hyperlink" Id="rId5"/>
    <Relationship TargetMode="External" Target="https://www.legis.iowa.gov/docs/ico/chapter/542.3.pdf" Type="http://schemas.openxmlformats.org/officeDocument/2006/relationships/hyperlink" Id="rId6"/>
    <Relationship TargetMode="External" Target="https://www.legis.iowa.gov/docs/ico/chapter/542.3.pdf" Type="http://schemas.openxmlformats.org/officeDocument/2006/relationships/hyperlink" Id="rId7"/>
    <Relationship TargetMode="External" Target="https://www.legis.iowa.gov/docs/ico/chapter/542.3.pdf" Type="http://schemas.openxmlformats.org/officeDocument/2006/relationships/hyperlink" Id="rId8"/>
    <Relationship TargetMode="External" Target="https://www.legis.iowa.gov/docs/ico/chapter/542.3.pdf" Type="http://schemas.openxmlformats.org/officeDocument/2006/relationships/hyperlink" Id="rId9"/>
    <Relationship TargetMode="External" Target="https://www.legis.iowa.gov/docs/ico/chapter/542.3.pdf" Type="http://schemas.openxmlformats.org/officeDocument/2006/relationships/hyperlink" Id="rId10"/>
    <Relationship TargetMode="External" Target="https://www.legis.iowa.gov/docs/ico/chapter/542.3.pdf" Type="http://schemas.openxmlformats.org/officeDocument/2006/relationships/hyperlink" Id="rId11"/>
    <Relationship TargetMode="External" Target="https://www.legis.iowa.gov/docs/ico/chapter/542.7.pdf" Type="http://schemas.openxmlformats.org/officeDocument/2006/relationships/hyperlink" Id="rId12"/>
    <Relationship TargetMode="External" Target="https://www.legis.iowa.gov/docs/ico/chapter/542.8.pdf" Type="http://schemas.openxmlformats.org/officeDocument/2006/relationships/hyperlink" Id="rId13"/>
    <Relationship TargetMode="External" Target="https://www.legis.iowa.gov/docs/ico/chapter/542.3.pdf" Type="http://schemas.openxmlformats.org/officeDocument/2006/relationships/hyperlink" Id="rId14"/>
    <Relationship TargetMode="External" Target="https://www.legis.iowa.gov/docs/ico/chapter/542.3.pdf" Type="http://schemas.openxmlformats.org/officeDocument/2006/relationships/hyperlink" Id="rId15"/>
    <Relationship TargetMode="External" Target="https://www.legis.iowa.gov/docs/ico/chapter/542.3.pdf" Type="http://schemas.openxmlformats.org/officeDocument/2006/relationships/hyperlink" Id="rId16"/>
    <Relationship TargetMode="External" Target="https://www.legis.iowa.gov/docs/ico/chapter/542.3.pdf" Type="http://schemas.openxmlformats.org/officeDocument/2006/relationships/hyperlink" Id="rId17"/>
    <Relationship TargetMode="External" Target="https://www.legis.iowa.gov/docs/ico/chapter/542.3.pdf" Type="http://schemas.openxmlformats.org/officeDocument/2006/relationships/hyperlink" Id="rId18"/>
    <Relationship TargetMode="External" Target="https://www.legis.iowa.gov/docs/ico/chapter/542.3.pdf" Type="http://schemas.openxmlformats.org/officeDocument/2006/relationships/hyperlink" Id="rId19"/>
    <Relationship TargetMode="External" Target="https://www.legis.iowa.gov/docs/ico/chapter/542.3.pdf" Type="http://schemas.openxmlformats.org/officeDocument/2006/relationships/hyperlink" Id="rId20"/>
    <Relationship TargetMode="External" Target="https://www.legis.iowa.gov/docs/iac/chapter/193A.11.pdf" Type="http://schemas.openxmlformats.org/officeDocument/2006/relationships/hyperlink" Id="rId21"/>
    <Relationship TargetMode="External" Target="https://www.legis.iowa.gov/docs/iac/chapter/193A.12.pdf" Type="http://schemas.openxmlformats.org/officeDocument/2006/relationships/hyperlink" Id="rId22"/>
    <Relationship TargetMode="External" Target="https://www.legis.iowa.gov/docs/ico/chapter/542.3.pdf" Type="http://schemas.openxmlformats.org/officeDocument/2006/relationships/hyperlink" Id="rId23"/>
    <Relationship TargetMode="External" Target="https://www.legis.iowa.gov/docs/ico/chapter/542.3.pdf" Type="http://schemas.openxmlformats.org/officeDocument/2006/relationships/hyperlink" Id="rId24"/>
    <Relationship TargetMode="External" Target="https://www.legis.iowa.gov/docs/ico/chapter/542.3.pdf" Type="http://schemas.openxmlformats.org/officeDocument/2006/relationships/hyperlink" Id="rId25"/>
    <Relationship TargetMode="External" Target="https://www.legis.iowa.gov/docs/ico/chapter/542.3.pdf" Type="http://schemas.openxmlformats.org/officeDocument/2006/relationships/hyperlink" Id="rId26"/>
    <Relationship TargetMode="External" Target="https://www.legis.iowa.gov/docs/ico/chapter/542.3.pdf" Type="http://schemas.openxmlformats.org/officeDocument/2006/relationships/hyperlink" Id="rId27"/>
    <Relationship TargetMode="External" Target="https://www.legis.iowa.gov/docs/ico/chapter/542.3.pdf" Type="http://schemas.openxmlformats.org/officeDocument/2006/relationships/hyperlink" Id="rId28"/>
    <Relationship TargetMode="External" Target="https://www.legis.iowa.gov/docs/ico/chapter/542.3.pdf" Type="http://schemas.openxmlformats.org/officeDocument/2006/relationships/hyperlink" Id="rId29"/>
    <Relationship TargetMode="External" Target="https://www.legis.iowa.gov/docs/ico/chapter/542.3.pdf" Type="http://schemas.openxmlformats.org/officeDocument/2006/relationships/hyperlink" Id="rId30"/>
    <Relationship Target="footer.xml" Type="http://schemas.openxmlformats.org/officeDocument/2006/relationships/footer" Id="rId31"/>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