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441—98.6</w:t>
      </w:r>
      <w:r>
        <w:rPr>
          <w:rFonts w:ascii="Times New Roman" w:hAnsi="Times New Roman"/>
          <w:b/>
          <w:i w:val="false"/>
          <w:color w:val="000000"/>
          <w:sz w:val="22"/>
        </w:rPr>
        <w:t xml:space="preserve">(252D) </w:t>
      </w:r>
      <w:r>
        <w:rPr>
          <w:rFonts w:ascii="Times New Roman" w:hAnsi="Times New Roman"/>
          <w:b/>
          <w:i w:val="false"/>
          <w:color w:val="000000"/>
          <w:sz w:val="22"/>
        </w:rPr>
        <w:t xml:space="preserve">Income withholding of delinquent support. </w:t>
      </w:r>
      <w:r>
        <w:rPr>
          <w:rFonts w:ascii="Times New Roman" w:hAnsi="Times New Roman"/>
          <w:b w:val="false"/>
          <w:i w:val="false"/>
          <w:color w:val="000000"/>
          <w:sz w:val="22"/>
        </w:rPr>
        <w:t xml:space="preserve">When there is a delinquency in an amount equal to the support payable for one month as specified by an order for support or reimbursement order and child support services is providing services under </w:t>
      </w:r>
      <w:hyperlink r:id="rId4">
        <w:r>
          <w:rPr>
            <w:rStyle w:val="Hyperlink"/>
            <w:rFonts w:ascii="Times New Roman" w:hAnsi="Times New Roman"/>
            <w:b w:val="false"/>
            <w:i w:val="false"/>
            <w:color w:val="000000"/>
            <w:sz w:val="22"/>
          </w:rPr>
          <w:t>441—Chapter 95</w:t>
        </w:r>
      </w:hyperlink>
      <w:r>
        <w:rPr>
          <w:rFonts w:ascii="Times New Roman" w:hAnsi="Times New Roman"/>
          <w:b w:val="false"/>
          <w:i w:val="false"/>
          <w:color w:val="000000"/>
          <w:sz w:val="22"/>
        </w:rPr>
        <w:t>, child support services will enter an order to withhold the obligor’s income not exempt by state or federal law to require the income withheld to be paid to the collection services center to pay the support obligation. An income withholding order will also be entered to collect the unpaid balance of a judgment for the reimbursement of a support debt when a repayment schedule is not specified in the order establishing the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9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