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441—95.7</w:t>
      </w:r>
      <w:r>
        <w:rPr>
          <w:rFonts w:ascii="Times New Roman" w:hAnsi="Times New Roman"/>
          <w:b/>
          <w:i w:val="false"/>
          <w:color w:val="000000"/>
          <w:sz w:val="22"/>
        </w:rPr>
        <w:t xml:space="preserve">(252B) </w:t>
      </w:r>
      <w:r>
        <w:rPr>
          <w:rFonts w:ascii="Times New Roman" w:hAnsi="Times New Roman"/>
          <w:b/>
          <w:i w:val="false"/>
          <w:color w:val="000000"/>
          <w:sz w:val="22"/>
        </w:rPr>
        <w:t xml:space="preserve">Termination of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95.7(1)</w:t>
      </w:r>
      <w:r>
        <w:rPr>
          <w:rFonts w:ascii="Times New Roman" w:hAnsi="Times New Roman"/>
          <w:b w:val="false"/>
          <w:i w:val="false"/>
          <w:color w:val="000000"/>
          <w:sz w:val="22"/>
        </w:rPr>
        <w:t> </w:t>
      </w:r>
      <w:r>
        <w:rPr>
          <w:rFonts w:ascii="Times New Roman" w:hAnsi="Times New Roman"/>
          <w:b w:val="false"/>
          <w:i/>
          <w:color w:val="000000"/>
          <w:sz w:val="22"/>
        </w:rPr>
        <w:t xml:space="preserve">Case closure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may terminate services when a case meets at least one of the following case closure criteria and child support services maintains supporting documentation for the case closure decision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is no ongoing support obligation and arrearages are under $500 or unenforceable under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noncustodial parent or alleged father is deceased and no further action, including a levy against the estate, can be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noncustodial parent is living with the minor child as the primary caregiver, the custodial parent is deceased, and there is no assignment to the state of support or of arrearages that accrued under the support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cannot establish paternity because: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child is at least 18 years old and the statute of limitations bars an action to establish paternity;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genetic test or a court or administrative process has excluded the alleged father and no other alleged father can be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has determined that it would not be in the best interest of the child to establish paternity in a case that involves incest or rape or a case in which legal proceedings for adoption are pending;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identity of the biological father is unknown and cannot be identified after diligent efforts, including at least one interview by child support services with the recipient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noncustodial parent’s location is unknown and child support services has made diligent efforts to locate the noncustodial parent using multiple sources, in accordance with regulations in 45 CFR Section 303.3 (as amended to August 1, 2024), all of which have been unsuccessful, within the applicable time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Over a three-year period when there is sufficient information to initiate an automated locate effort.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Over a one-year period when there is not sufficient information to initiate an automated locate effort.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has determined that, throughout the duration of the child’s minority (or after the child has reached the age of majority), the noncustodial parent cannot pay support and shows no evidence of support potential because the parent has been institutionalized in a psychiatric facility, is incarcerated, or has a medically verified total and permanent disability. Child support services must also determine that the noncustodial parent has no income or assets available above the subsistence level that could be levied or attached for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noncustodial parent’s sole income is from supplemental security income (SSI)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noncustodial parent is a citizen of and lives in a foreign country, does not work for the federal government or a company with headquarters or offices in the United States, and has no reachable domestic income or assets and there is no federal or state treaty or reciprocity with the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In a case involving child support services to a person who is not a recipient of public assistance, child support services has provided location-only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has received a written or verbal request from the recipient of services to close the case and there is no assignment to the state of support or of arrearages that accrued under the support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In a case involving child support services to a recipient of public assistance, there has been a finding of good cause or other exception in a public assistance case as specified in 441—subrules </w:t>
      </w:r>
      <w:r>
        <w:rPr>
          <w:rFonts w:ascii="Times New Roman" w:hAnsi="Times New Roman"/>
          <w:b w:val="false"/>
          <w:i w:val="false"/>
          <w:color w:val="000000"/>
          <w:sz w:val="22"/>
        </w:rPr>
        <w:t>41.3(6)</w:t>
      </w:r>
      <w:r>
        <w:rPr>
          <w:rFonts w:ascii="Times New Roman" w:hAnsi="Times New Roman"/>
          <w:b w:val="false"/>
          <w:i w:val="false"/>
          <w:color w:val="000000"/>
          <w:sz w:val="22"/>
        </w:rPr>
        <w:t xml:space="preserve"> through </w:t>
      </w:r>
      <w:r>
        <w:rPr>
          <w:rFonts w:ascii="Times New Roman" w:hAnsi="Times New Roman"/>
          <w:b w:val="false"/>
          <w:i w:val="false"/>
          <w:color w:val="000000"/>
          <w:sz w:val="22"/>
        </w:rPr>
        <w:t>41.6(10)</w:t>
      </w:r>
      <w:r>
        <w:rPr>
          <w:rFonts w:ascii="Times New Roman" w:hAnsi="Times New Roman"/>
          <w:b w:val="false"/>
          <w:i w:val="false"/>
          <w:color w:val="000000"/>
          <w:sz w:val="22"/>
        </w:rPr>
        <w:t xml:space="preserve"> and </w:t>
      </w:r>
      <w:r>
        <w:rPr>
          <w:rFonts w:ascii="Times New Roman" w:hAnsi="Times New Roman"/>
          <w:b w:val="false"/>
          <w:i w:val="false"/>
          <w:color w:val="000000"/>
          <w:sz w:val="22"/>
        </w:rPr>
        <w:t>75.14(3)</w:t>
      </w:r>
      <w:r>
        <w:rPr>
          <w:rFonts w:ascii="Times New Roman" w:hAnsi="Times New Roman"/>
          <w:b w:val="false"/>
          <w:i w:val="false"/>
          <w:color w:val="000000"/>
          <w:sz w:val="22"/>
        </w:rPr>
        <w:t>, including a determination that support enforcement may not proceed without risk or harm to the child or caretaker relative.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In a case involving child support services to a person who is not a recipient of public assistance or who is a recipient of public assistance receiving Medicaid only, child support services has received information that the address in child support services’ record is no longer current and child support services is unable to contact or otherwise locate the recipient within 60 days following receipt of this information despite a good-faith effort to contact the recipient through at least two different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 xml:space="preserve">In a case involving child support services to a person who is not a recipient of public assistance or who is a recipient of public assistance receiving Medicaid only, the recipient of services has failed to cooperate with child support services, which documented the circumstances of the noncooperation, and an action by the recipient of services is essential for the next step in providing services. More information is contained in rule </w:t>
      </w:r>
      <w:hyperlink r:id="rId4">
        <w:r>
          <w:rPr>
            <w:rStyle w:val="Hyperlink"/>
            <w:rFonts w:ascii="Times New Roman" w:hAnsi="Times New Roman"/>
            <w:b w:val="false"/>
            <w:i w:val="false"/>
            <w:color w:val="000000"/>
            <w:sz w:val="22"/>
          </w:rPr>
          <w:t>441—95.11</w:t>
        </w:r>
      </w:hyperlink>
      <w:r>
        <w:rPr>
          <w:rFonts w:ascii="Times New Roman" w:hAnsi="Times New Roman"/>
          <w:b w:val="false"/>
          <w:i w:val="false"/>
          <w:color w:val="000000"/>
          <w:sz w:val="22"/>
        </w:rPr>
        <w:t>(252B).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documents failure by the initiating agency, as defined under 45 CFR Section 301.1 (as amended to August 1, 2024), to take an action that is essential for the next step in providing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The initiating agency, as defined under 45 CFR Section 301.1 (as amended to August 1, 2024), has notified child support services that the initiating agency has closed its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The initiating agency, as defined under 45 CFR Section 301.1 (as amended to August 1, 2024), has notified child support services that its intergovernmental services are no longer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Another assistance program, including IV-A, IV-E, SNAP, and Medicaid, has referred to child support services a case for which it is inappropriate to establish, enforce, or continue to enforce a child support order and the custodial or noncustodial parent has not applied for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The case meets any other basis for case closure based upon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may terminate services when no support or arrearages that accrued under the support order are assigned to the state and the recipient of services requested child support services  to close the case to allow the tribal IV-D agency to start providing services under that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close a case and maintain supporting documentation for the case closure decision when the following criteria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is notified that the child is eligible for health care services from the Indian Health Service (IHS);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IV-D case was opened because of a Medicaid referral based solely upon health care services, including the Purchased/Referred Care Program, provided through an Indian health program as defined in </w:t>
      </w:r>
      <w:r>
        <w:rPr>
          <w:rFonts w:ascii="Times New Roman" w:hAnsi="Times New Roman"/>
          <w:b w:val="false"/>
          <w:i w:val="false"/>
          <w:color w:val="000000"/>
          <w:sz w:val="22"/>
        </w:rPr>
        <w:t>25 U.S.C.</w:t>
      </w:r>
      <w:r>
        <w:rPr>
          <w:rFonts w:ascii="Times New Roman" w:hAnsi="Times New Roman"/>
          <w:b w:val="false"/>
          <w:i w:val="false"/>
          <w:color w:val="000000"/>
          <w:sz w:val="22"/>
        </w:rPr>
        <w:t xml:space="preserve"> Section 1603(12) (as amended to August 1, 2024);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recipient of services requests that child support services close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receives instructions for case closure from an initiating agency as defined under 45 CFR Section 301.1 (as amended to August 1, 2024). Within ten working days, child support services will stop the income withholding order or notice and close the intergovernmental IV-D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95.7(2)</w:t>
      </w:r>
      <w:r>
        <w:rPr>
          <w:rFonts w:ascii="Times New Roman" w:hAnsi="Times New Roman"/>
          <w:b w:val="false"/>
          <w:i w:val="false"/>
          <w:color w:val="000000"/>
          <w:sz w:val="22"/>
        </w:rPr>
        <w:t> </w:t>
      </w:r>
      <w:r>
        <w:rPr>
          <w:rFonts w:ascii="Times New Roman" w:hAnsi="Times New Roman"/>
          <w:b w:val="false"/>
          <w:i/>
          <w:color w:val="000000"/>
          <w:sz w:val="22"/>
        </w:rPr>
        <w:t xml:space="preserve">Case closure notifications. </w:t>
      </w:r>
      <w:r>
        <w:rPr>
          <w:rFonts w:ascii="Times New Roman" w:hAnsi="Times New Roman"/>
          <w:b w:val="false"/>
          <w:i w:val="false"/>
          <w:color w:val="000000"/>
          <w:sz w:val="22"/>
        </w:rPr>
        <w:t xml:space="preserve">In cases meeting one of the criteria of subrule </w:t>
      </w:r>
      <w:r>
        <w:rPr>
          <w:rFonts w:ascii="Times New Roman" w:hAnsi="Times New Roman"/>
          <w:b w:val="false"/>
          <w:i w:val="false"/>
          <w:color w:val="000000"/>
          <w:sz w:val="22"/>
        </w:rPr>
        <w:t>95.7(1)</w:t>
      </w:r>
      <w:r>
        <w:rPr>
          <w:rFonts w:ascii="Times New Roman" w:hAnsi="Times New Roman"/>
          <w:b w:val="false"/>
          <w:i w:val="false"/>
          <w:color w:val="000000"/>
          <w:sz w:val="22"/>
        </w:rPr>
        <w:t xml:space="preserve">, except subparagraph </w:t>
      </w:r>
      <w:r>
        <w:rPr>
          <w:rFonts w:ascii="Times New Roman" w:hAnsi="Times New Roman"/>
          <w:b w:val="false"/>
          <w:i w:val="false"/>
          <w:color w:val="000000"/>
          <w:sz w:val="22"/>
        </w:rPr>
        <w:t>95.7(1)</w:t>
      </w:r>
      <w:r>
        <w:rPr>
          <w:rFonts w:ascii="Times New Roman" w:hAnsi="Times New Roman"/>
          <w:b w:val="false"/>
          <w:i/>
          <w:color w:val="000000"/>
          <w:sz w:val="22"/>
        </w:rPr>
        <w:t>“a”</w:t>
      </w:r>
      <w:r>
        <w:rPr>
          <w:rFonts w:ascii="Times New Roman" w:hAnsi="Times New Roman"/>
          <w:b w:val="false"/>
          <w:i w:val="false"/>
          <w:color w:val="000000"/>
          <w:sz w:val="22"/>
        </w:rPr>
        <w:t xml:space="preserve">(9), </w:t>
      </w:r>
      <w:r>
        <w:rPr>
          <w:rFonts w:ascii="Times New Roman" w:hAnsi="Times New Roman"/>
          <w:b w:val="false"/>
          <w:i w:val="false"/>
          <w:color w:val="000000"/>
          <w:sz w:val="22"/>
        </w:rPr>
        <w:t>95.7(1)</w:t>
      </w:r>
      <w:r>
        <w:rPr>
          <w:rFonts w:ascii="Times New Roman" w:hAnsi="Times New Roman"/>
          <w:b w:val="false"/>
          <w:i/>
          <w:color w:val="000000"/>
          <w:sz w:val="22"/>
        </w:rPr>
        <w:t>“a”</w:t>
      </w:r>
      <w:r>
        <w:rPr>
          <w:rFonts w:ascii="Times New Roman" w:hAnsi="Times New Roman"/>
          <w:b w:val="false"/>
          <w:i w:val="false"/>
          <w:color w:val="000000"/>
          <w:sz w:val="22"/>
        </w:rPr>
        <w:t xml:space="preserve">(10), or </w:t>
      </w:r>
      <w:r>
        <w:rPr>
          <w:rFonts w:ascii="Times New Roman" w:hAnsi="Times New Roman"/>
          <w:b w:val="false"/>
          <w:i w:val="false"/>
          <w:color w:val="000000"/>
          <w:sz w:val="22"/>
        </w:rPr>
        <w:t>95.7(1)</w:t>
      </w:r>
      <w:r>
        <w:rPr>
          <w:rFonts w:ascii="Times New Roman" w:hAnsi="Times New Roman"/>
          <w:b w:val="false"/>
          <w:i/>
          <w:color w:val="000000"/>
          <w:sz w:val="22"/>
        </w:rPr>
        <w:t>“a”</w:t>
      </w:r>
      <w:r>
        <w:rPr>
          <w:rFonts w:ascii="Times New Roman" w:hAnsi="Times New Roman"/>
          <w:b w:val="false"/>
          <w:i w:val="false"/>
          <w:color w:val="000000"/>
          <w:sz w:val="22"/>
        </w:rPr>
        <w:t xml:space="preserve">(11), child support services will send notification of its intent to close the case to the recipient of services or the initiating agency, as defined under 45 CFR Section 301.1 (as amended to August 1, 2024), in writing 60 calendar days before case closure. The notice will be sent to the recipient of services or the state requesting services at the last-known address stating the reason for denying or terminating services, the effective date, and an explanation of the right to request a hearing according to </w:t>
      </w:r>
      <w:hyperlink r:id="rId5">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Closure of the case following notification is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in response to the notice, the recipient of services or the initiating agency, as defined under 45 CFR Section 301.1 (as amended to August 1, 2024), supplies information that could lead to the establishment of paternity or a support order or enforcement of an order, the case will be kept open.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case is to be closed because child support services was unable to contact the recipient of services, as provided in subparagraph </w:t>
      </w:r>
      <w:r>
        <w:rPr>
          <w:rFonts w:ascii="Times New Roman" w:hAnsi="Times New Roman"/>
          <w:b w:val="false"/>
          <w:i w:val="false"/>
          <w:color w:val="000000"/>
          <w:sz w:val="22"/>
        </w:rPr>
        <w:t>95.7(1)</w:t>
      </w:r>
      <w:r>
        <w:rPr>
          <w:rFonts w:ascii="Times New Roman" w:hAnsi="Times New Roman"/>
          <w:b w:val="false"/>
          <w:i/>
          <w:color w:val="000000"/>
          <w:sz w:val="22"/>
        </w:rPr>
        <w:t>“a”</w:t>
      </w:r>
      <w:r>
        <w:rPr>
          <w:rFonts w:ascii="Times New Roman" w:hAnsi="Times New Roman"/>
          <w:b w:val="false"/>
          <w:i w:val="false"/>
          <w:color w:val="000000"/>
          <w:sz w:val="22"/>
        </w:rPr>
        <w:t>(12), the case shall be kept open if contact is reestablished with the recipient of services before the effective date of the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recipient of services may request to have child support services reopen the case at a later date if there is a change in circumstances that could lead to the establishment of paternity or a support order or enforcement of an order by completing a new application and paying any applicable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recipient of services specifically authorizes consent for electronic notifications, child support services may elect to notify the recipient of services electronically of child support services’ intent to close the case. Child support services must maintain documentation of the recipient’s consent in the case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8961C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95.11.pdf" Type="http://schemas.openxmlformats.org/officeDocument/2006/relationships/hyperlink" Id="rId4"/>
    <Relationship TargetMode="External" Target="https://www.legis.iowa.gov/docs/iac/chapter/441.2506.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