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441—93.12</w:t>
      </w:r>
      <w:r>
        <w:rPr>
          <w:rFonts w:ascii="Times New Roman" w:hAnsi="Times New Roman"/>
          <w:b/>
          <w:i w:val="false"/>
          <w:color w:val="000000"/>
          <w:sz w:val="22"/>
        </w:rPr>
        <w:t xml:space="preserve">(239B) </w:t>
      </w:r>
      <w:r>
        <w:rPr>
          <w:rFonts w:ascii="Times New Roman" w:hAnsi="Times New Roman"/>
          <w:b/>
          <w:i w:val="false"/>
          <w:color w:val="000000"/>
          <w:sz w:val="22"/>
        </w:rPr>
        <w:t xml:space="preserve">Recovery of PROMISE JOBS expense payments. </w:t>
      </w:r>
      <w:r>
        <w:rPr>
          <w:rFonts w:ascii="Times New Roman" w:hAnsi="Times New Roman"/>
          <w:b w:val="false"/>
          <w:i w:val="false"/>
          <w:color w:val="000000"/>
          <w:sz w:val="22"/>
        </w:rPr>
        <w:t>When an applicant, a participant, or a provider receives an expense payment for transportation or other supportive expenses that is greater than allowed under these rules or receives a duplicate payment of an expense payment, an overpayment is considered to have occurred and recovery is required. There are two categories of PROMISE JOBS expense payments subject to recovery: (1) transportation, and (2) other supportive expense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93.12(1)</w:t>
      </w:r>
      <w:r>
        <w:rPr>
          <w:rFonts w:ascii="Times New Roman" w:hAnsi="Times New Roman"/>
          <w:b w:val="false"/>
          <w:i w:val="false"/>
          <w:color w:val="000000"/>
          <w:sz w:val="22"/>
        </w:rPr>
        <w:t> </w:t>
      </w:r>
      <w:r>
        <w:rPr>
          <w:rFonts w:ascii="Times New Roman" w:hAnsi="Times New Roman"/>
          <w:b w:val="false"/>
          <w:i w:val="false"/>
          <w:color w:val="000000"/>
          <w:sz w:val="22"/>
        </w:rPr>
        <w:t>Payment for transportation will be considered an overpayment subject to recovery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participant attends none of the scheduled days of participation in a PROMISE JOBS activity, the entire transportation payment will be considered an overpayment. Recovery of the overpayment will be initiated when it becomes clear that subsequent participation in the activity is not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fails to attend 75 percent of the normally scheduled days of participation in either of the last two months of an ongoing PROMISE JOBS activity or in any transportation payment period of an activity that has not been used for payment adjustment as described in paragraph </w:t>
      </w:r>
      <w:r>
        <w:rPr>
          <w:rFonts w:ascii="Times New Roman" w:hAnsi="Times New Roman"/>
          <w:b w:val="false"/>
          <w:i w:val="false"/>
          <w:color w:val="000000"/>
          <w:sz w:val="22"/>
        </w:rPr>
        <w:t>93.11(3)</w:t>
      </w:r>
      <w:r>
        <w:rPr>
          <w:rFonts w:ascii="Times New Roman" w:hAnsi="Times New Roman"/>
          <w:b w:val="false"/>
          <w:i/>
          <w:color w:val="000000"/>
          <w:sz w:val="22"/>
        </w:rPr>
        <w:t>“d,”</w:t>
      </w:r>
      <w:r>
        <w:rPr>
          <w:rFonts w:ascii="Times New Roman" w:hAnsi="Times New Roman"/>
          <w:b w:val="false"/>
          <w:i w:val="false"/>
          <w:color w:val="000000"/>
          <w:sz w:val="22"/>
        </w:rPr>
        <w:t xml:space="preserve"> an overpayment is considered to have occurred. The amount to recover will be the difference between the amount for the actual number of days attended and the amount for 75 percent of normally scheduled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93.12(2)</w:t>
      </w:r>
      <w:r>
        <w:rPr>
          <w:rFonts w:ascii="Times New Roman" w:hAnsi="Times New Roman"/>
          <w:b w:val="false"/>
          <w:i w:val="false"/>
          <w:color w:val="000000"/>
          <w:sz w:val="22"/>
        </w:rPr>
        <w:t> </w:t>
      </w:r>
      <w:r>
        <w:rPr>
          <w:rFonts w:ascii="Times New Roman" w:hAnsi="Times New Roman"/>
          <w:b w:val="false"/>
          <w:i w:val="false"/>
          <w:color w:val="000000"/>
          <w:sz w:val="22"/>
        </w:rPr>
        <w:t>The PROMISE JOBS worker shall make the referral to the department of inspections, appeals, and licensing by recording the overpayment in the overpayment recovery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inspections, appeals, and licensing  shall notify the participant or the provider when it is determined that an overpayment exists as described in </w:t>
      </w:r>
      <w:hyperlink r:id="rId4">
        <w:r>
          <w:rPr>
            <w:rStyle w:val="Hyperlink"/>
            <w:rFonts w:ascii="Times New Roman" w:hAnsi="Times New Roman"/>
            <w:b w:val="false"/>
            <w:i w:val="false"/>
            <w:color w:val="000000"/>
            <w:sz w:val="22"/>
          </w:rPr>
          <w:t>441—subrule 11.2(2)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include the amount, date, and reason for the overpayment. Upon the participant’s request, PROMISE JOBS shall provide additional information regarding the computation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may appeal the computation of the overpayment and any action to recover the overpayment through benefit reduction in accordance with </w:t>
      </w:r>
      <w:hyperlink r:id="rId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93.12(4)</w:t>
      </w:r>
      <w:r>
        <w:rPr>
          <w:rFonts w:ascii="Times New Roman" w:hAnsi="Times New Roman"/>
          <w:b w:val="false"/>
          <w:i w:val="false"/>
          <w:color w:val="000000"/>
          <w:sz w:val="22"/>
        </w:rPr>
        <w:t> </w:t>
      </w:r>
      <w:r>
        <w:rPr>
          <w:rFonts w:ascii="Times New Roman" w:hAnsi="Times New Roman"/>
          <w:b w:val="false"/>
          <w:i w:val="false"/>
          <w:color w:val="000000"/>
          <w:sz w:val="22"/>
        </w:rPr>
        <w:t>A PROMISE JOBS overpayment shall be recovered through repayment in part or in full. Repayments received by PROMISE JOBS shall be transmitted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Overpayments of child care assistance issued for July 1999 and any month thereafter are subject to recovery rules of the child care assistance program set forth in rule </w:t>
      </w:r>
      <w:hyperlink r:id="rId6">
        <w:r>
          <w:rPr>
            <w:rStyle w:val="Hyperlink"/>
            <w:rFonts w:ascii="Times New Roman" w:hAnsi="Times New Roman"/>
            <w:b w:val="false"/>
            <w:i w:val="false"/>
            <w:color w:val="000000"/>
            <w:sz w:val="22"/>
          </w:rPr>
          <w:t>441—170.9</w:t>
        </w:r>
      </w:hyperlink>
      <w:r>
        <w:rPr>
          <w:rFonts w:ascii="Times New Roman" w:hAnsi="Times New Roman"/>
          <w:b w:val="false"/>
          <w:i w:val="false"/>
          <w:color w:val="000000"/>
          <w:sz w:val="22"/>
        </w:rPr>
        <w:t>(237A).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93.12(5)</w:t>
      </w:r>
      <w:r>
        <w:rPr>
          <w:rFonts w:ascii="Times New Roman" w:hAnsi="Times New Roman"/>
          <w:b w:val="false"/>
          <w:i w:val="false"/>
          <w:color w:val="000000"/>
          <w:sz w:val="22"/>
        </w:rPr>
        <w:t> </w:t>
      </w:r>
      <w:r>
        <w:rPr>
          <w:rFonts w:ascii="Times New Roman" w:hAnsi="Times New Roman"/>
          <w:b w:val="false"/>
          <w:i w:val="false"/>
          <w:color w:val="000000"/>
          <w:sz w:val="22"/>
        </w:rPr>
        <w:t>When a participant or a provider offers repayment in part or in full before the end of the 30-day appeal period, PROMISE JOBS or the department’s local office will accept the payment. The amount of the voluntary repayment shall not be returned to the participant or provider unless the final decision on the appeal directs the department to do so. If a subsequent appeal request is received, the PROMISE JOBS unit shall notify the department of inspections, appeals, and licensing and shall not accept any further payments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participant or a provider has been referred to the department of inspections, appeals, and licensing to initiate recovery, the department of inspections, appeals, and licensing shall use the same methods of recovery as are used for the FIP program as described in </w:t>
      </w:r>
      <w:hyperlink r:id="rId7">
        <w:r>
          <w:rPr>
            <w:rStyle w:val="Hyperlink"/>
            <w:rFonts w:ascii="Times New Roman" w:hAnsi="Times New Roman"/>
            <w:b w:val="false"/>
            <w:i w:val="false"/>
            <w:color w:val="000000"/>
            <w:sz w:val="22"/>
          </w:rPr>
          <w:t>481—Chapter 90</w:t>
        </w:r>
      </w:hyperlink>
      <w:r>
        <w:rPr>
          <w:rFonts w:ascii="Times New Roman" w:hAnsi="Times New Roman"/>
          <w:b w:val="false"/>
          <w:i w:val="false"/>
          <w:color w:val="000000"/>
          <w:sz w:val="22"/>
        </w:rPr>
        <w:t>, except that the FIP grant shall not be reduced to effect recovery without the participant’s written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requests grant reduction on a form prescribed by the department, the grant will be reduced for repayment as described in rule </w:t>
      </w:r>
      <w:hyperlink r:id="rId8">
        <w:r>
          <w:rPr>
            <w:rStyle w:val="Hyperlink"/>
            <w:rFonts w:ascii="Times New Roman" w:hAnsi="Times New Roman"/>
            <w:b w:val="false"/>
            <w:i w:val="false"/>
            <w:color w:val="000000"/>
            <w:sz w:val="22"/>
          </w:rPr>
          <w:t>441—46.25</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is authorized to take any reasonable action to effect recovery of provider overpayments, such as but not limited to informal agreements, civil action, or criminal prosecution. However, the department of inspections, appeals, and licensing shall not take any collection action on a provider overpayment that would jeopardize the participant’s continued participation in the PROMISE JOBS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1.2.pdf" Type="http://schemas.openxmlformats.org/officeDocument/2006/relationships/hyperlink" Id="rId4"/>
    <Relationship TargetMode="External" Target="https://www.legis.iowa.gov/docs/iac/chapter/441.2506.pdf" Type="http://schemas.openxmlformats.org/officeDocument/2006/relationships/hyperlink" Id="rId5"/>
    <Relationship TargetMode="External" Target="https://www.legis.iowa.gov/docs/iac/rule/441.170.9.pdf" Type="http://schemas.openxmlformats.org/officeDocument/2006/relationships/hyperlink" Id="rId6"/>
    <Relationship TargetMode="External" Target="https://www.legis.iowa.gov/docs/iac/chapter/481.90.pdf" Type="http://schemas.openxmlformats.org/officeDocument/2006/relationships/hyperlink" Id="rId7"/>
    <Relationship TargetMode="External" Target="https://www.legis.iowa.gov/docs/iac/rule/441.46.25.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