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441—86.16</w:t>
      </w:r>
      <w:r>
        <w:rPr>
          <w:rFonts w:ascii="Times New Roman" w:hAnsi="Times New Roman"/>
          <w:b/>
          <w:i w:val="false"/>
          <w:color w:val="000000"/>
          <w:sz w:val="22"/>
        </w:rPr>
        <w:t xml:space="preserve">(514I)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86.16(1)</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from the enrollee or representative. </w:t>
      </w:r>
      <w:r>
        <w:rPr>
          <w:rFonts w:ascii="Times New Roman" w:hAnsi="Times New Roman"/>
          <w:b w:val="false"/>
          <w:i w:val="false"/>
          <w:color w:val="000000"/>
          <w:sz w:val="22"/>
        </w:rPr>
        <w:t xml:space="preserve">The department may recover from the enrollee or the enrollee’s representative the amount of premiums incorrectly paid to a health or dental plan on behalf of the enrollee due to client error, minus any premium payments made by the enrollee, in accordance with </w:t>
      </w:r>
      <w:hyperlink r:id="rId4">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Premiums incorrectly paid to a health or dental plan on behalf of an enrollee due to an administrative error are not subject to recovery from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made by a health or dental plan to a provider of medical or dental services are not subject to recovery from the enrollee regardless of the cause of the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enrollee will be promptly notified when it is determined that funds were incorrectly paid due to a client error. Notification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for whom funds were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the funds were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subject to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reason for the incorrect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86.16(3)</w:t>
      </w:r>
      <w:r>
        <w:rPr>
          <w:rFonts w:ascii="Times New Roman" w:hAnsi="Times New Roman"/>
          <w:b w:val="false"/>
          <w:i w:val="false"/>
          <w:color w:val="000000"/>
          <w:sz w:val="22"/>
        </w:rPr>
        <w:t> </w:t>
      </w:r>
      <w:r>
        <w:rPr>
          <w:rFonts w:ascii="Times New Roman" w:hAnsi="Times New Roman"/>
          <w:b w:val="false"/>
          <w:i/>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Recovery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From the enrollee when the enrollee completed the application and had responsibility for reporting changes,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enrollee’s representative (i.e., the parent, guardian, or other responsible person acting on behalf of an enrollee who is under the age of 19) when the representative completed the application and had responsibility for reporting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or representative shall repay to the department the funds incorrectly expended on behalf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Recovery may come from income, income tax refunds, lottery winnings, or other resources of the enrollee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86.16(4)</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enrollee shall have the right to appeal a decision to recover benefits under the provisions of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11.pdf" Type="http://schemas.openxmlformats.org/officeDocument/2006/relationships/hyperlink" Id="rId4"/>
    <Relationship TargetMode="External" Target="https://www.legis.iowa.gov/docs/iac/chapter/441.25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