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441—76.7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Persons may be temporarily and immediately enrolled in Medicaid based on a presumptive eligibility determination by a qualified entity at a presumptive provider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color w:val="000000"/>
          <w:sz w:val="22"/>
        </w:rPr>
        <w:t xml:space="preserve">Presumptive provider. </w:t>
      </w:r>
      <w:r>
        <w:rPr>
          <w:rFonts w:ascii="Times New Roman" w:hAnsi="Times New Roman"/>
          <w:b w:val="false"/>
          <w:i w:val="false"/>
          <w:color w:val="000000"/>
          <w:sz w:val="22"/>
        </w:rPr>
        <w:t>A presumptive provider is an organization approved by the department to conduct and authorize presumptive eligibility determinations. A provider organization that seeks to be authorized to make presumptive Medicaid eligibility determinations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using the Application for Initial/Recertification to Be a Presumptive Provider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Read the Memorandum of Understanding with a Presumptive Provider for Presumptive Medicaid Eligibility Determinations form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Comply with the requirements outlined in Iowa’s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“qualified provider” </w:t>
      </w:r>
      <w:r>
        <w:rPr>
          <w:rFonts w:ascii="Times New Roman" w:hAnsi="Times New Roman"/>
          <w:b w:val="false"/>
          <w:i w:val="false"/>
          <w:color w:val="000000"/>
          <w:sz w:val="22"/>
        </w:rPr>
        <w:t>pursuant to 42 U.S.C. §1396r</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Meet the definition of “qualified entity” in the following federal regulations for the category of persons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under the age of 19, as described in </w:t>
      </w:r>
      <w:r>
        <w:rPr>
          <w:rFonts w:ascii="Times New Roman" w:hAnsi="Times New Roman"/>
          <w:b w:val="false"/>
          <w:i w:val="false"/>
          <w:color w:val="000000"/>
          <w:sz w:val="22"/>
        </w:rPr>
        <w:t>42 CFR §435.118</w:t>
      </w:r>
      <w:r>
        <w:rPr>
          <w:rFonts w:ascii="Times New Roman" w:hAnsi="Times New Roman"/>
          <w:b w:val="false"/>
          <w:i w:val="false"/>
          <w:color w:val="000000"/>
          <w:sz w:val="22"/>
        </w:rPr>
        <w:t xml:space="preserve">, the provider must meet the requirements of paragraphs (1) through (10) of the definition of “qualified entity” in </w:t>
      </w:r>
      <w:r>
        <w:rPr>
          <w:rFonts w:ascii="Times New Roman" w:hAnsi="Times New Roman"/>
          <w:b w:val="false"/>
          <w:i w:val="false"/>
          <w:color w:val="000000"/>
          <w:sz w:val="22"/>
        </w:rPr>
        <w:t>42 CFR §435.1101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pregnant women, as described in </w:t>
      </w:r>
      <w:r>
        <w:rPr>
          <w:rFonts w:ascii="Times New Roman" w:hAnsi="Times New Roman"/>
          <w:b w:val="false"/>
          <w:i w:val="false"/>
          <w:color w:val="000000"/>
          <w:sz w:val="22"/>
        </w:rPr>
        <w:t>42 CFR §435.116</w:t>
      </w:r>
      <w:r>
        <w:rPr>
          <w:rFonts w:ascii="Times New Roman" w:hAnsi="Times New Roman"/>
          <w:b w:val="false"/>
          <w:i w:val="false"/>
          <w:color w:val="000000"/>
          <w:sz w:val="22"/>
        </w:rPr>
        <w:t xml:space="preserve">, the provider must meet the requirements of </w:t>
      </w:r>
      <w:r>
        <w:rPr>
          <w:rFonts w:ascii="Times New Roman" w:hAnsi="Times New Roman"/>
          <w:b w:val="false"/>
          <w:i w:val="false"/>
          <w:color w:val="000000"/>
          <w:sz w:val="22"/>
        </w:rPr>
        <w:t>42 U.S.C. §1396r</w:t>
      </w:r>
      <w:r>
        <w:rPr>
          <w:rFonts w:ascii="Times New Roman" w:hAnsi="Times New Roman"/>
          <w:b w:val="false"/>
          <w:i w:val="false"/>
          <w:color w:val="000000"/>
          <w:sz w:val="22"/>
        </w:rPr>
        <w:t>-1(b)(2);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parents and caretakers, as described in </w:t>
      </w:r>
      <w:r>
        <w:rPr>
          <w:rFonts w:ascii="Times New Roman" w:hAnsi="Times New Roman"/>
          <w:b w:val="false"/>
          <w:i w:val="false"/>
          <w:color w:val="000000"/>
          <w:sz w:val="22"/>
        </w:rPr>
        <w:t>42 CFR §435.110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aged 19 through 64, as described in </w:t>
      </w:r>
      <w:r>
        <w:rPr>
          <w:rFonts w:ascii="Times New Roman" w:hAnsi="Times New Roman"/>
          <w:b w:val="false"/>
          <w:i w:val="false"/>
          <w:color w:val="000000"/>
          <w:sz w:val="22"/>
        </w:rPr>
        <w:t>42 CFR § 435.119</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former foster care children, as described in </w:t>
      </w:r>
      <w:r>
        <w:rPr>
          <w:rFonts w:ascii="Times New Roman" w:hAnsi="Times New Roman"/>
          <w:b w:val="false"/>
          <w:i w:val="false"/>
          <w:color w:val="000000"/>
          <w:sz w:val="22"/>
        </w:rPr>
        <w:t>42 CFR §435.150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needing breast or cervical cancer treatment (BCCT), as described in </w:t>
      </w:r>
      <w:r>
        <w:rPr>
          <w:rFonts w:ascii="Times New Roman" w:hAnsi="Times New Roman"/>
          <w:b w:val="false"/>
          <w:i w:val="false"/>
          <w:color w:val="000000"/>
          <w:sz w:val="22"/>
        </w:rPr>
        <w:t>42 U.S.C. §1396r</w:t>
      </w:r>
      <w:r>
        <w:rPr>
          <w:rFonts w:ascii="Times New Roman" w:hAnsi="Times New Roman"/>
          <w:b w:val="false"/>
          <w:i w:val="false"/>
          <w:color w:val="000000"/>
          <w:sz w:val="22"/>
        </w:rPr>
        <w:t>-1b(b)(2);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of the categories of persons covered in subparagraphs </w:t>
      </w:r>
      <w:hyperlink r:id="rId4">
        <w:r>
          <w:rPr>
            <w:rStyle w:val="Hyperlink"/>
            <w:rFonts w:ascii="Times New Roman" w:hAnsi="Times New Roman"/>
            <w:b w:val="false"/>
            <w:i w:val="false"/>
            <w:color w:val="000000"/>
            <w:sz w:val="22"/>
          </w:rPr>
          <w:t>76.7(1)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(6), a qualifying hospital must meet the requirements in </w:t>
      </w:r>
      <w:r>
        <w:rPr>
          <w:rFonts w:ascii="Times New Roman" w:hAnsi="Times New Roman"/>
          <w:b w:val="false"/>
          <w:i w:val="false"/>
          <w:color w:val="000000"/>
          <w:sz w:val="22"/>
        </w:rPr>
        <w:t>42 CFR §435.1110(b)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Application for Initial/Recertification to Be a Presumptive Provider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by signing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that seeks to be authorized to make presumptive Medicaid eligibility determinations under the supervision and authority of a presumptive provider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(MPEP) Access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 the Provider Memorandum of Understanding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confirmation of acceptance by the department that the individual is determined by the department to be capable of making presumptive Medicaid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paragraph </w:t>
      </w:r>
      <w:hyperlink r:id="rId5">
        <w:r>
          <w:rPr>
            <w:rStyle w:val="Hyperlink"/>
            <w:rFonts w:ascii="Times New Roman" w:hAnsi="Times New Roman"/>
            <w:b w:val="false"/>
            <w:i w:val="false"/>
            <w:color w:val="000000"/>
            <w:sz w:val="22"/>
          </w:rPr>
          <w:t>76.7(2)</w:t>
        </w:r>
        <w:r>
          <w:rPr>
            <w:rFonts w:ascii="Times New Roman" w:hAnsi="Times New Roman"/>
            <w:b w:val="false"/>
            <w:i/>
            <w:color w:val="000000"/>
            <w:sz w:val="22"/>
          </w:rPr>
          <w:t>“a,”</w:t>
        </w:r>
      </w:hyperlink>
      <w:r>
        <w:rPr>
          <w:rFonts w:ascii="Times New Roman" w:hAnsi="Times New Roman"/>
          <w:b w:val="false"/>
          <w:i w:val="false"/>
          <w:color w:val="000000"/>
          <w:sz w:val="22"/>
        </w:rPr>
        <w:t xml:space="preserve"> a qualified entity for BCCT must also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Been named lead agency for a county or regional local breast and cervical cancer early detection program under a contract with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agreement with the department under the Centers for Disease Control and Prevention National Breast and Cervical Cancer Early Detection Program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to receive reimbursement for providing breast or cervical cancer screening or diagnostic services to participants in the care for yourself breast and cervical cancer early detection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employees of the presumptive provider may be given the authority to make presumptive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entities are required to 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required self-directed policy and system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Recertification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r>
        <w:rPr>
          <w:rFonts w:ascii="Times New Roman" w:hAnsi="Times New Roman"/>
          <w:b w:val="false"/>
          <w:i w:val="false"/>
          <w:color w:val="000000"/>
          <w:sz w:val="22"/>
        </w:rPr>
        <w:t>An applicant for presumptive Medicaid shall complete an application with a qualified entity in one of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information in person to the qualified entity that enters the applicant’s information into the MPEP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paper application provided by the qualified entity that enters the applicant’s information into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An individual listed in paragraph </w:t>
      </w:r>
      <w:hyperlink r:id="rId6">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sign the completed paper application or a printed version of the completed MPEP application. A copy of the signed application must be maintained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color w:val="000000"/>
          <w:sz w:val="22"/>
        </w:rPr>
        <w:t xml:space="preserve">Date of filing and 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the application date of filing for an ongoing eligibility determination, a paper application is valid only if it contains the applicant’s legible name, address, and signature under penalty of perjury and must be date-stamped on the date it is received by the qualified entity.  The date of filing as described in paragraph </w:t>
      </w:r>
      <w:hyperlink r:id="rId7">
        <w:r>
          <w:rPr>
            <w:rStyle w:val="Hyperlink"/>
            <w:rFonts w:ascii="Times New Roman" w:hAnsi="Times New Roman"/>
            <w:b w:val="false"/>
            <w:i w:val="false"/>
            <w:color w:val="000000"/>
            <w:sz w:val="22"/>
          </w:rPr>
          <w:t>76.2(2)</w:t>
        </w:r>
        <w:r>
          <w:rPr>
            <w:rFonts w:ascii="Times New Roman" w:hAnsi="Times New Roman"/>
            <w:b w:val="false"/>
            <w:i/>
            <w:color w:val="000000"/>
            <w:sz w:val="22"/>
          </w:rPr>
          <w:t>“a”</w:t>
        </w:r>
      </w:hyperlink>
      <w:r>
        <w:rPr>
          <w:rFonts w:ascii="Times New Roman" w:hAnsi="Times New Roman"/>
          <w:b w:val="false"/>
          <w:i w:val="false"/>
          <w:color w:val="000000"/>
          <w:sz w:val="22"/>
        </w:rPr>
        <w:t xml:space="preserve"> is used for purposes of determining the effective date of coverage for ongoing eligibility but does not determine the effective date of coverage for presumptive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for presumptive Medicaid is the date on which a qualified entity completes the presumptive eligibility determination within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to the qualified entity all information necessary to make a presumptive eligibility determination 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 xml:space="preserve">The qualified entity shall inform the applicant of the eligibility decision as soon as possible but no later than two working days after the date the determination is made by the qualified entity. Timely and adequate notice requirements and appeal rights of the Medicaid program, including those outlined in </w:t>
      </w:r>
      <w:r>
        <w:rPr>
          <w:rFonts w:ascii="Times New Roman" w:hAnsi="Times New Roman"/>
          <w:b w:val="false"/>
          <w:i w:val="false"/>
          <w:color w:val="000000"/>
          <w:sz w:val="22"/>
        </w:rPr>
        <w:t>42 CFR Part 431, subpart E</w:t>
      </w:r>
      <w:r>
        <w:rPr>
          <w:rFonts w:ascii="Times New Roman" w:hAnsi="Times New Roman"/>
          <w:b w:val="false"/>
          <w:i w:val="false"/>
          <w:color w:val="000000"/>
          <w:sz w:val="22"/>
        </w:rPr>
        <w:t xml:space="preserve">;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do not apply to determinations of presumptive 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76.7(7)</w:t>
      </w:r>
      <w:r>
        <w:rPr>
          <w:rFonts w:ascii="Times New Roman" w:hAnsi="Times New Roman"/>
          <w:b w:val="false"/>
          <w:i w:val="false"/>
          <w:color w:val="000000"/>
          <w:sz w:val="22"/>
        </w:rPr>
        <w:t> </w:t>
      </w:r>
      <w:r>
        <w:rPr>
          <w:rFonts w:ascii="Times New Roman" w:hAnsi="Times New Roman"/>
          <w:b w:val="false"/>
          <w:i/>
          <w:color w:val="000000"/>
          <w:sz w:val="22"/>
        </w:rPr>
        <w:t xml:space="preserve">Full medical assistance eligibility determination. </w:t>
      </w:r>
      <w:r>
        <w:rPr>
          <w:rFonts w:ascii="Times New Roman" w:hAnsi="Times New Roman"/>
          <w:b w:val="false"/>
          <w:i w:val="false"/>
          <w:color w:val="000000"/>
          <w:sz w:val="22"/>
        </w:rPr>
        <w:t>All presumptive eligibility applications will be given the option within the MPEP system to also receive a full determination of eligibility for Medicaid or hawki.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7.pdf" Type="http://schemas.openxmlformats.org/officeDocument/2006/relationships/hyperlink" Id="rId4"/>
    <Relationship TargetMode="External" Target="https://www.legis.iowa.gov/docs/iac/rule/441.76.7.pdf" Type="http://schemas.openxmlformats.org/officeDocument/2006/relationships/hyperlink" Id="rId5"/>
    <Relationship TargetMode="External" Target="https://www.legis.iowa.gov/docs/iac/rule/441.76.2.pdf" Type="http://schemas.openxmlformats.org/officeDocument/2006/relationships/hyperlink" Id="rId6"/>
    <Relationship TargetMode="External" Target="https://www.legis.iowa.gov/docs/iac/rule/441.76.2.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ac/chapter/441.1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