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441—75.28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overpayment”</w:t>
      </w:r>
      <w:r>
        <w:rPr>
          <w:rFonts w:ascii="Times New Roman" w:hAnsi="Times New Roman"/>
          <w:b w:val="false"/>
          <w:i w:val="false"/>
          <w:color w:val="000000"/>
          <w:sz w:val="22"/>
        </w:rPr>
        <w:t> </w:t>
      </w:r>
      <w:r>
        <w:rPr>
          <w:rFonts w:ascii="Times New Roman" w:hAnsi="Times New Roman"/>
          <w:b w:val="false"/>
          <w:i w:val="false"/>
          <w:color w:val="000000"/>
          <w:sz w:val="22"/>
        </w:rPr>
        <w:t>means medical assistance incorrectly paid to or for the client because of continuing assistance during the appeal process or allowing a deduction for the Medicare Part B premium in determining client participation while the department arranges to pay the Medicare premium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error”</w:t>
      </w:r>
      <w:r>
        <w:rPr>
          <w:rFonts w:ascii="Times New Roman" w:hAnsi="Times New Roman"/>
          <w:b w:val="false"/>
          <w:i w:val="false"/>
          <w:color w:val="000000"/>
          <w:sz w:val="22"/>
        </w:rPr>
        <w:t> </w:t>
      </w:r>
      <w:r>
        <w:rPr>
          <w:rFonts w:ascii="Times New Roman" w:hAnsi="Times New Roman"/>
          <w:b w:val="false"/>
          <w:i w:val="false"/>
          <w:color w:val="000000"/>
          <w:sz w:val="22"/>
        </w:rPr>
        <w:t>means medical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medical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current or former Medicaid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error”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medical assistance incorrectly paid to or for the client because the client or client’s representative failed to disclose information or gave false or misleading statements, oral or written, regarding the client’s income, resources, or other eligibility and benefit factors. “Client error” also means assistance incorrectly paid to or for the client because of failure by the client or client’s representative to timely report as defined in rule </w:t>
      </w:r>
      <w:hyperlink r:id="rId4">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“Premiums paid for medical assistance”</w:t>
      </w:r>
      <w:r>
        <w:rPr>
          <w:rFonts w:ascii="Times New Roman" w:hAnsi="Times New Roman"/>
          <w:b w:val="false"/>
          <w:i w:val="false"/>
          <w:color w:val="000000"/>
          <w:sz w:val="22"/>
        </w:rPr>
        <w:t> </w:t>
      </w:r>
      <w:r>
        <w:rPr>
          <w:rFonts w:ascii="Times New Roman" w:hAnsi="Times New Roman"/>
          <w:b w:val="false"/>
          <w:i w:val="false"/>
          <w:color w:val="000000"/>
          <w:sz w:val="22"/>
        </w:rPr>
        <w:t>means monthly premiums assessed to a member or household for Medicaid or IHAWP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will recover from a client all Medicaid funds incorrectly expended to or on behalf of the client and all unpaid premiums assessed by the department for medical assistance. The incorrect expenditures or unpaid premiums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will be promptly notified when it is determined that assistance was incorrectly expended or when assessed premiums are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of incorrect expenditures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for whom assistance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assistance was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assistance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unpaid premiums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premium;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 covered by the medical assistance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75.28(4)</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will be made from the client or from parents of children under the age of 21 when the parents completed the application and had responsibility for reporting changes. Recovery may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Medicaid funds shall be made to the department. However, repayment of funds incorrectly paid to a nursing facility, a Medicare-certified skilled nursing facility, a psychiatric medical institution for children, an ICF-ID, or a mental health institute enrolled as an inpatient psychiatric facility may be made by the client to the facility. The department will then recover the funds from the facility through a vendor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shall have the right to appeal the amount of funds subject to recovery under the provisions of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75.28(7)</w:t>
      </w:r>
      <w:r>
        <w:rPr>
          <w:rFonts w:ascii="Times New Roman" w:hAnsi="Times New Roman"/>
          <w:b w:val="false"/>
          <w:i w:val="false"/>
          <w:color w:val="000000"/>
          <w:sz w:val="22"/>
        </w:rPr>
        <w:t> </w:t>
      </w:r>
      <w:r>
        <w:rPr>
          <w:rFonts w:ascii="Times New Roman" w:hAnsi="Times New Roman"/>
          <w:b w:val="false"/>
          <w:i/>
          <w:color w:val="000000"/>
          <w:sz w:val="22"/>
        </w:rPr>
        <w:t xml:space="preserve">Estate recovery. </w:t>
      </w:r>
      <w:r>
        <w:rPr>
          <w:rFonts w:ascii="Times New Roman" w:hAnsi="Times New Roman"/>
          <w:b w:val="false"/>
          <w:i w:val="false"/>
          <w:color w:val="000000"/>
          <w:sz w:val="22"/>
        </w:rPr>
        <w:t xml:space="preserve">Medical assistance, including the amount the state paid to a managed care organization (MCO) for provision of medical services, also called capitation fees, is subject to recovery from the estate of a Medicaid member, of the member’s surviving spouse, or of the member’s surviving child as provided in this subrule. Effective January 1, 2010, medical assistance that has been paid for Medicare cost sharing or for benefits described in Section 1902(a)(10)(E) of the Act is not subject to recovery. All assets included in the estate of the member, the surviving spouse, or the surviving child are subject to probate for the purposes of medical assistance estate recovery pursuant to Iowa Code section </w:t>
      </w:r>
      <w:hyperlink r:id="rId6">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classification of the debt is defined in Iowa Code section </w:t>
      </w:r>
      <w:hyperlink r:id="rId7">
        <w:r>
          <w:rPr>
            <w:rStyle w:val="Hyperlink"/>
            <w:rFonts w:ascii="Times New Roman" w:hAnsi="Times New Roman"/>
            <w:b w:val="false"/>
            <w:i w:val="false"/>
            <w:color w:val="000000"/>
            <w:sz w:val="22"/>
          </w:rPr>
          <w:t>633.425(7)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in subrule </w:t>
      </w:r>
      <w:hyperlink r:id="rId8">
        <w:r>
          <w:rPr>
            <w:rStyle w:val="Hyperlink"/>
            <w:rFonts w:ascii="Times New Roman" w:hAnsi="Times New Roman"/>
            <w:b w:val="false"/>
            <w:i w:val="false"/>
            <w:color w:val="000000"/>
            <w:sz w:val="22"/>
          </w:rPr>
          <w:t>75.28(1)</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“Capitated payment/rate”</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the contractor on behalf of each member for the provision of health services under the contract. Payment is made regardless of whether the member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“Estate.”</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subrule, the “estate” of a Medicaid member, a surviving spouse, or a surviving child shall include all real property, personal property, or any other asset in which the member, spouse, or surviving child had any legal title or interest at the time of death, or at the time a child reaches the age of 21, to the extent of that interest. An estate includes but is not limited to interest in jointly held property, retained life estates, and interests in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means an entity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under contract with the department to provide services to Medicaid recipients,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Meets the definition of “health maintenance organization” in Iowa Code section </w:t>
      </w:r>
      <w:hyperlink r:id="rId9">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55 years of age or older. </w:t>
      </w:r>
      <w:r>
        <w:rPr>
          <w:rFonts w:ascii="Times New Roman" w:hAnsi="Times New Roman"/>
          <w:b w:val="false"/>
          <w:i w:val="false"/>
          <w:color w:val="000000"/>
          <w:sz w:val="22"/>
        </w:rPr>
        <w:t>Receipt of medical assistance when a member is 55 years of age or older creates a debt due to the department from the member’s estate upon the member’s death for all medical assistance provided on the member’s behalf on or after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Debt due for member under the age of 55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 of medical assistance creates a debt due to the department from the member’s estate upon the member’s death for all medical assistance provided on the member’s behalf on or after July 1, 1994, when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 the age of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resident of a nursing facility, an ICF-ID, or a mental health institute;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Cannot reasonably be expected to be discharged and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the facility and returns home before staying six consecutive months, no debt will be assessed for medical assistance payments made on the member’s behalf for the time 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remains in the facility for six consecutive months or longer or dies before staying six consecutive months, the department will presume that the member cannot or could not reasonably be expected to be discharged and return home and a debt due will be established. The department will notify the member of the presumption and the establishment of a debt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for a determination of ability to return home. </w:t>
      </w:r>
      <w:r>
        <w:rPr>
          <w:rFonts w:ascii="Times New Roman" w:hAnsi="Times New Roman"/>
          <w:b w:val="false"/>
          <w:i w:val="false"/>
          <w:color w:val="000000"/>
          <w:sz w:val="22"/>
        </w:rPr>
        <w:t>Upon receipt of a notice of the establishment of a debt due based on the presumption that the member cannot return home, the member or someone acting on the member’s behalf may request that the department determine whether the member can or could reasonably have been expected to return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within 30 days of the notice that a debt due will be established, no debt due will be established until the department has made a decision on the member’s ability to return home. If the determination is that there is or was no ability to return home, a debt due will be established for all medical assistance as of the date of entry into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written request is made more than 30 days after the notice that a debt due will be established, a debt due will be established for medical assistance provided before the request even if the determination is that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ability to return home. </w:t>
      </w:r>
      <w:r>
        <w:rPr>
          <w:rFonts w:ascii="Times New Roman" w:hAnsi="Times New Roman"/>
          <w:b w:val="false"/>
          <w:i w:val="false"/>
          <w:color w:val="000000"/>
          <w:sz w:val="22"/>
        </w:rPr>
        <w:t>When the member or someone acting on the member’s behalf requests a determination, the department will determine if the member can or could have returned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cannot make a determination until the member has been in an institution at least six months or after the death of the member, whichever is earlier. The department will notify the member or the member’s representative and the department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 or could return home, Iowa Medicaid will establish the date the return is expected or could have been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determination is that the member cannot or could not return home, a debt due will be established unless the member or the member’s representative asks for a reconsideration of the decision. The department will notify the member or the member’s representative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reconsideration decision is that the member cannot or could not return home, a debt due will be established against the member unless the decision is appealed pursuant to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appeal decision will determine the final outcome for the establishment of a debt due and the period when the debt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Debt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nursing facility participating in the medical assistance program shall notify the department upon the death of a member residing in the facility by submitting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receipt of the form or a report of a member’s death through other means, the department will request a statement of the member’s assets from the member’s personal representative. The representative shall sign and return a form prescribed by the department indicating whether assets remain and, if so, what the assets are and what higher priority expenses exist.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The procedures in this subparagraph are not necessary when a probate estate has been opened because those procedures provide for an inventory, an accounting, and a final report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Waiving the collection of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the collection of the debt created under this subrule from the estate of the member to the extent that collection of the debt would result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Reduction in the amount received from the member’s estate by a surviving spouse or by a surviving child who is under the age of 21, blind, or permanently and totally disabled at the time of the member’s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Creation of an undue hardship for the person seeking a waiver of estate recovery. Undue hardship exists when total household income is less than 200 percent of the FPL for a household of the same size; total household resources do not exceed $10,000; and application of estate recovery would result in deprivation of food, clothing, shelter, or medical care such that life or health would be endangered. For this purpose, “income” and “resources” will be defined as being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for a waiver of estate recovery due to undue hardship, the person shall provide a written statement and supporting verification to the department within 30 days of the notice of estate recovery pursuant to Iowa Code section </w:t>
      </w:r>
      <w:hyperlink r:id="rId11">
        <w:r>
          <w:rPr>
            <w:rStyle w:val="Hyperlink"/>
            <w:rFonts w:ascii="Times New Roman" w:hAnsi="Times New Roman"/>
            <w:b w:val="false"/>
            <w:i w:val="false"/>
            <w:color w:val="000000"/>
            <w:sz w:val="22"/>
          </w:rPr>
          <w:t>249A.53(2)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determine whether undue hardship exists on a case-by-case basis. Appeals of adverse decisions regarding an undue hardship determination may be filed in accordance with </w:t>
      </w:r>
      <w:hyperlink r:id="rId1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Amount waived. </w:t>
      </w:r>
      <w:r>
        <w:rPr>
          <w:rFonts w:ascii="Times New Roman" w:hAnsi="Times New Roman"/>
          <w:b w:val="false"/>
          <w:i w:val="false"/>
          <w:color w:val="000000"/>
          <w:sz w:val="22"/>
        </w:rPr>
        <w:t xml:space="preserve">If collection of all or part of a debt is waived pursuant to paragraph </w:t>
      </w:r>
      <w:hyperlink r:id="rId13">
        <w:r>
          <w:rPr>
            <w:rStyle w:val="Hyperlink"/>
            <w:rFonts w:ascii="Times New Roman" w:hAnsi="Times New Roman"/>
            <w:b w:val="false"/>
            <w:i w:val="false"/>
            <w:color w:val="000000"/>
            <w:sz w:val="22"/>
          </w:rPr>
          <w:t>75.28(7)</w:t>
        </w:r>
      </w:hyperlink>
      <w:r>
        <w:rPr>
          <w:rFonts w:ascii="Times New Roman" w:hAnsi="Times New Roman"/>
          <w:b w:val="false"/>
          <w:i/>
          <w:color w:val="000000"/>
          <w:sz w:val="22"/>
        </w:rPr>
        <w:t>“g,”</w:t>
      </w:r>
      <w:r>
        <w:rPr>
          <w:rFonts w:ascii="Times New Roman" w:hAnsi="Times New Roman"/>
          <w:b w:val="false"/>
          <w:i w:val="false"/>
          <w:color w:val="000000"/>
          <w:sz w:val="22"/>
        </w:rPr>
        <w:t xml:space="preserve"> to the extent that the person received the member’s estate, the amount waived will be a debt due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spouse, upon the death of the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estate of the member’s surviving child who is blind or has a disability, upon the death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surviving child who was under 21 years of age at the time of the member’s death, when the child reaches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estate of a surviving child who was under 21 years of age at the time of the member’s death, if the child dies before reaching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hardship waiver recipient, when the hardship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estate of the recipient of the undue hardship waiver, at the time of death of the hardship waiver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Impact of asset disregard on debt due. </w:t>
      </w:r>
      <w:r>
        <w:rPr>
          <w:rFonts w:ascii="Times New Roman" w:hAnsi="Times New Roman"/>
          <w:b w:val="false"/>
          <w:i w:val="false"/>
          <w:color w:val="000000"/>
          <w:sz w:val="22"/>
        </w:rPr>
        <w:t xml:space="preserve">The estate of a member who is eligible for Medicaid under subrule </w:t>
      </w:r>
      <w:hyperlink r:id="rId14">
        <w:r>
          <w:rPr>
            <w:rStyle w:val="Hyperlink"/>
            <w:rFonts w:ascii="Times New Roman" w:hAnsi="Times New Roman"/>
            <w:b w:val="false"/>
            <w:i w:val="false"/>
            <w:color w:val="000000"/>
            <w:sz w:val="22"/>
          </w:rPr>
          <w:t>75.82(5)</w:t>
        </w:r>
      </w:hyperlink>
      <w:r>
        <w:rPr>
          <w:rFonts w:ascii="Times New Roman" w:hAnsi="Times New Roman"/>
          <w:b w:val="false"/>
          <w:i w:val="false"/>
          <w:color w:val="000000"/>
          <w:sz w:val="22"/>
        </w:rPr>
        <w:t xml:space="preserve"> will not be subject to a claim for Medicaid paid on the member’s behalf up to the amount of the assets disregarded by asset disregard. Medicaid paid on behalf of the member before these conditions will be recovered from the estate, regardless of the member’s having purchased precertified or approved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Interest on debt. </w:t>
      </w:r>
      <w:r>
        <w:rPr>
          <w:rFonts w:ascii="Times New Roman" w:hAnsi="Times New Roman"/>
          <w:b w:val="false"/>
          <w:i w:val="false"/>
          <w:color w:val="000000"/>
          <w:sz w:val="22"/>
        </w:rPr>
        <w:t xml:space="preserve">Interest will accrue on a debt due under this subrule in accordance with Iowa Code section </w:t>
      </w:r>
      <w:hyperlink r:id="rId15">
        <w:r>
          <w:rPr>
            <w:rStyle w:val="Hyperlink"/>
            <w:rFonts w:ascii="Times New Roman" w:hAnsi="Times New Roman"/>
            <w:b w:val="false"/>
            <w:i w:val="false"/>
            <w:color w:val="000000"/>
            <w:sz w:val="22"/>
          </w:rPr>
          <w:t>249A.53(2)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a county. </w:t>
      </w:r>
      <w:r>
        <w:rPr>
          <w:rFonts w:ascii="Times New Roman" w:hAnsi="Times New Roman"/>
          <w:b w:val="false"/>
          <w:i w:val="false"/>
          <w:color w:val="000000"/>
          <w:sz w:val="22"/>
        </w:rPr>
        <w:t xml:space="preserve">If a county reimburses the department for medical assistance provided under this subrule and the amount of medical assistance is subsequently repaid through a medical assistance income trust or a medical assistance special needs trust as defined in Iowa Code chapter </w:t>
      </w:r>
      <w:hyperlink r:id="rId16">
        <w:r>
          <w:rPr>
            <w:rStyle w:val="Hyperlink"/>
            <w:rFonts w:ascii="Times New Roman" w:hAnsi="Times New Roman"/>
            <w:b w:val="false"/>
            <w:i w:val="false"/>
            <w:color w:val="000000"/>
            <w:sz w:val="22"/>
          </w:rPr>
          <w:t>633C</w:t>
        </w:r>
      </w:hyperlink>
      <w:r>
        <w:rPr>
          <w:rFonts w:ascii="Times New Roman" w:hAnsi="Times New Roman"/>
          <w:b w:val="false"/>
          <w:i w:val="false"/>
          <w:color w:val="000000"/>
          <w:sz w:val="22"/>
        </w:rPr>
        <w:t>, the department will reimburse the county on a proportionate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5.pdf"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co/chapter/249A.53.pdf" Type="http://schemas.openxmlformats.org/officeDocument/2006/relationships/hyperlink" Id="rId6"/>
    <Relationship TargetMode="External" Target="https://www.legis.iowa.gov/docs/ico/chapter/633.425.pdf" Type="http://schemas.openxmlformats.org/officeDocument/2006/relationships/hyperlink" Id="rId7"/>
    <Relationship TargetMode="External" Target="https://www.legis.iowa.gov/docs/iac/rule/441.75.28.pdf" Type="http://schemas.openxmlformats.org/officeDocument/2006/relationships/hyperlink" Id="rId8"/>
    <Relationship TargetMode="External" Target="https://www.legis.iowa.gov/docs/ico/chapter/514B.1.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co/chapter/249A.53.pdf" Type="http://schemas.openxmlformats.org/officeDocument/2006/relationships/hyperlink" Id="rId11"/>
    <Relationship TargetMode="External" Target="https://www.legis.iowa.gov/docs/iac/chapter/441.2506.pdf" Type="http://schemas.openxmlformats.org/officeDocument/2006/relationships/hyperlink" Id="rId12"/>
    <Relationship TargetMode="External" Target="https://www.legis.iowa.gov/docs/iac/rule/441.75.28.pdf" Type="http://schemas.openxmlformats.org/officeDocument/2006/relationships/hyperlink" Id="rId13"/>
    <Relationship TargetMode="External" Target="https://www.legis.iowa.gov/docs/iac/rule/441.75.82.pdf" Type="http://schemas.openxmlformats.org/officeDocument/2006/relationships/hyperlink" Id="rId14"/>
    <Relationship TargetMode="External" Target="https://www.legis.iowa.gov/docs/ico/chapter/249A.53.pdf" Type="http://schemas.openxmlformats.org/officeDocument/2006/relationships/hyperlink" Id="rId15"/>
    <Relationship TargetMode="External" Target="https://www.legis.iowa.gov/docs/ico/chapter/633C.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