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441—51.10</w:t>
      </w:r>
      <w:r>
        <w:rPr>
          <w:rFonts w:ascii="Times New Roman" w:hAnsi="Times New Roman"/>
          <w:b/>
          <w:i w:val="false"/>
          <w:color w:val="000000"/>
          <w:sz w:val="22"/>
        </w:rPr>
        <w:t xml:space="preserve">(249)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state supplementary assistance funds incorrectly expended to or on behalf of the client, or when conditional benefits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seek to recover the state supplementary assistance granted during the period of time that conditional benefits were correctly granted the client under the policies of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incorrect expenditures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Notification will include for whom assistance was paid; the time period during which assistance was incorrectly paid; the amount of assistance subject to recovery, when known; and 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must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state supplementary assistance funds will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has the right to appeal the amount of funds subject to recovery under the provisions of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