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441—49.6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dissatisfied with the council’s actions regarding grant proposals for funds and grantees dissatisfied with termination of a contract may appeal the council’s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49.6(2)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case of a grant award, no disbursements will be made to a grantee for a period of ten calendar days following issuance of the notice of decision to award. If an appeal is filed within the ten days, all disbursements will be held pending a final decision on the appeal. All applicants will be notified if an appeal is filed.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