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441—46.25</w:t>
      </w:r>
      <w:r>
        <w:rPr>
          <w:rFonts w:ascii="Times New Roman" w:hAnsi="Times New Roman"/>
          <w:b/>
          <w:i w:val="false"/>
          <w:color w:val="000000"/>
          <w:sz w:val="22"/>
        </w:rPr>
        <w:t xml:space="preserve">(239B) </w:t>
      </w:r>
      <w:r>
        <w:rPr>
          <w:rFonts w:ascii="Times New Roman" w:hAnsi="Times New Roman"/>
          <w:b/>
          <w:i w:val="false"/>
          <w:color w:val="000000"/>
          <w:sz w:val="22"/>
        </w:rPr>
        <w:t xml:space="preserve">Source of recoupment. </w:t>
      </w:r>
      <w:r>
        <w:rPr>
          <w:rFonts w:ascii="Times New Roman" w:hAnsi="Times New Roman"/>
          <w:b w:val="false"/>
          <w:i w:val="false"/>
          <w:color w:val="000000"/>
          <w:sz w:val="22"/>
        </w:rPr>
        <w:t xml:space="preserve">Recoupment will be made from basic needs. The minimum recoupment amount will be the amount prescribed in subrule </w:t>
      </w:r>
      <w:hyperlink r:id="rId4">
        <w:r>
          <w:rPr>
            <w:rStyle w:val="Hyperlink"/>
            <w:rFonts w:ascii="Times New Roman" w:hAnsi="Times New Roman"/>
            <w:b w:val="false"/>
            <w:i w:val="false"/>
            <w:color w:val="000000"/>
            <w:sz w:val="22"/>
          </w:rPr>
          <w:t>46.25(3)</w:t>
        </w:r>
      </w:hyperlink>
      <w:r>
        <w:rPr>
          <w:rFonts w:ascii="Times New Roman" w:hAnsi="Times New Roman"/>
          <w:b w:val="false"/>
          <w:i w:val="false"/>
          <w:color w:val="000000"/>
          <w:sz w:val="22"/>
        </w:rPr>
        <w:t>. Regardless of the source, the client may choose to make a lump sum payment, make periodic installment payments when an agreement to do this is made with the department of inspections, appeals, and licensing, or have repayment withheld from the grant. The client shall sign a form prescribed by the department when requested to do so by the department of inspections, appeals, and licensing. When the client fails to make the agreed upon payment, the agency will reduce the grant.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46.25(1)</w:t>
      </w:r>
      <w:r>
        <w:rPr>
          <w:rFonts w:ascii="Times New Roman" w:hAnsi="Times New Roman"/>
          <w:b w:val="false"/>
          <w:i w:val="false"/>
          <w:color w:val="000000"/>
          <w:sz w:val="22"/>
        </w:rPr>
        <w:t xml:space="preserve"> and </w:t>
      </w:r>
      <w:r>
        <w:rPr>
          <w:rFonts w:ascii="Times New Roman" w:hAnsi="Times New Roman"/>
          <w:b/>
          <w:i w:val="false"/>
          <w:color w:val="000000"/>
          <w:sz w:val="22"/>
        </w:rPr>
        <w:t>46.25(2)</w:t>
      </w:r>
      <w:r>
        <w:rPr>
          <w:rFonts w:ascii="Times New Roman" w:hAnsi="Times New Roman"/>
          <w:b w:val="false"/>
          <w:i w:val="false"/>
          <w:color w:val="000000"/>
          <w:sz w:val="22"/>
        </w:rPr>
        <w:t>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46.25(3)</w:t>
      </w:r>
      <w:r>
        <w:rPr>
          <w:rFonts w:ascii="Times New Roman" w:hAnsi="Times New Roman"/>
          <w:b w:val="false"/>
          <w:i w:val="false"/>
          <w:color w:val="000000"/>
          <w:sz w:val="22"/>
        </w:rPr>
        <w:t> </w:t>
      </w:r>
      <w:r>
        <w:rPr>
          <w:rFonts w:ascii="Times New Roman" w:hAnsi="Times New Roman"/>
          <w:b w:val="false"/>
          <w:i/>
          <w:color w:val="000000"/>
          <w:sz w:val="22"/>
        </w:rPr>
        <w:t xml:space="preserve">Basic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client error or a combination of client and agency errors will be 10 percent of the basic needs standard in accordance with the schedule in </w:t>
      </w:r>
      <w:hyperlink r:id="rId5">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the continuation of benefits pending a decision on an appeal as provided under </w:t>
      </w:r>
      <w:hyperlink r:id="rId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or a combination of continued benefits and agency or client errors will be 10 percent of the basic needs standard in accordance with the schedule in </w:t>
      </w:r>
      <w:hyperlink r:id="rId7">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by withholding from basic needs for overpayments due to agency error will be 1 percent of the basic needs standard in accordance with the schedule in </w:t>
      </w:r>
      <w:hyperlink r:id="rId8">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46.25.pdf" Type="http://schemas.openxmlformats.org/officeDocument/2006/relationships/hyperlink" Id="rId4"/>
    <Relationship TargetMode="External" Target="https://www.legis.iowa.gov/docs/iac/rule/441.41.28.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ac/rule/441.41.28.pdf" Type="http://schemas.openxmlformats.org/officeDocument/2006/relationships/hyperlink" Id="rId7"/>
    <Relationship TargetMode="External" Target="https://www.legis.iowa.gov/docs/iac/rule/441.41.28.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