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441—46.23</w:t>
      </w:r>
      <w:r>
        <w:rPr>
          <w:rFonts w:ascii="Times New Roman" w:hAnsi="Times New Roman"/>
          <w:b/>
          <w:i w:val="false"/>
          <w:color w:val="000000"/>
          <w:sz w:val="22"/>
        </w:rPr>
        <w:t xml:space="preserve">(239B) </w:t>
      </w:r>
      <w:r>
        <w:rPr>
          <w:rFonts w:ascii="Times New Roman" w:hAnsi="Times New Roman"/>
          <w:b/>
          <w:i w:val="false"/>
          <w:color w:val="000000"/>
          <w:sz w:val="22"/>
        </w:rPr>
        <w:t xml:space="preserve">Notification and appeals. </w:t>
      </w:r>
      <w:r>
        <w:rPr>
          <w:rFonts w:ascii="Times New Roman" w:hAnsi="Times New Roman"/>
          <w:b w:val="false"/>
          <w:i w:val="false"/>
          <w:color w:val="000000"/>
          <w:sz w:val="22"/>
        </w:rPr>
        <w:t xml:space="preserve">All clients will be notified by the department of inspections, appeals, and licensing, as described in </w:t>
      </w:r>
      <w:hyperlink r:id="rId4">
        <w:r>
          <w:rPr>
            <w:rStyle w:val="Hyperlink"/>
            <w:rFonts w:ascii="Times New Roman" w:hAnsi="Times New Roman"/>
            <w:b w:val="false"/>
            <w:i w:val="false"/>
            <w:color w:val="000000"/>
            <w:sz w:val="22"/>
          </w:rPr>
          <w:t>441—subrule 11.2(2)</w:t>
        </w:r>
      </w:hyperlink>
      <w:r>
        <w:rPr>
          <w:rFonts w:ascii="Times New Roman" w:hAnsi="Times New Roman"/>
          <w:b w:val="false"/>
          <w:i w:val="false"/>
          <w:color w:val="000000"/>
          <w:sz w:val="22"/>
        </w:rPr>
        <w:t xml:space="preserve">, when it is determined that an overpayment exists. Notification will include the amount, date and reason for the overpayment. The department will provide additional information regarding the computation of the overpayment upon the client’s request. The client may appeal the computation of the overpayment and any action to recover the overpayment through benefit reduction in accordance with </w:t>
      </w:r>
      <w:hyperlink r:id="rId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9260C</w:t>
      </w:r>
      <w:r>
        <w:rPr>
          <w:rFonts w:ascii="Times New Roman" w:hAnsi="Times New Roman"/>
          <w:b w:val="false"/>
          <w:i w:val="false"/>
          <w:color w:val="000000"/>
          <w:sz w:val="16"/>
        </w:rPr>
        <w:t>, IAB 5/14/25, effective 7/1/25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11.2.pdf" Type="http://schemas.openxmlformats.org/officeDocument/2006/relationships/hyperlink" Id="rId4"/>
    <Relationship TargetMode="External" Target="https://www.legis.iowa.gov/docs/iac/chapter/441.2506.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