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441—41.24</w:t>
      </w:r>
      <w:r>
        <w:rPr>
          <w:rFonts w:ascii="Times New Roman" w:hAnsi="Times New Roman"/>
          <w:b/>
          <w:i w:val="false"/>
          <w:color w:val="000000"/>
          <w:sz w:val="22"/>
        </w:rPr>
        <w:t xml:space="preserve">(239B) </w:t>
      </w:r>
      <w:r>
        <w:rPr>
          <w:rFonts w:ascii="Times New Roman" w:hAnsi="Times New Roman"/>
          <w:b/>
          <w:i w:val="false"/>
          <w:color w:val="000000"/>
          <w:sz w:val="22"/>
        </w:rPr>
        <w:t xml:space="preserve">Promoting independence and self-sufficiency through employment job opportunities and basic skills (PROMISE JOBS) program. </w:t>
      </w:r>
      <w:r>
        <w:rPr>
          <w:rFonts w:ascii="Times New Roman" w:hAnsi="Times New Roman"/>
          <w:b w:val="false"/>
          <w:i w:val="false"/>
          <w:color w:val="000000"/>
          <w:sz w:val="22"/>
        </w:rPr>
        <w:t xml:space="preserve">All persons in an FIP household will be referred to the PROMISE JOBS program, as defined in rule </w:t>
      </w:r>
      <w:hyperlink r:id="rId4">
        <w:r>
          <w:rPr>
            <w:rStyle w:val="Hyperlink"/>
            <w:rFonts w:ascii="Times New Roman" w:hAnsi="Times New Roman"/>
            <w:b w:val="false"/>
            <w:i w:val="false"/>
            <w:color w:val="000000"/>
            <w:sz w:val="22"/>
          </w:rPr>
          <w:t>441—93.1</w:t>
        </w:r>
      </w:hyperlink>
      <w:r>
        <w:rPr>
          <w:rFonts w:ascii="Times New Roman" w:hAnsi="Times New Roman"/>
          <w:b w:val="false"/>
          <w:i w:val="false"/>
          <w:color w:val="000000"/>
          <w:sz w:val="22"/>
        </w:rPr>
        <w:t xml:space="preserve">(239B), and shall enter into a family investment agreement (FIA) as a condition of receiving FIP unless exempt from referral, except as described in subrule </w:t>
      </w:r>
      <w:hyperlink r:id="rId5">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w:t>
      </w:r>
      <w:r>
        <w:rPr>
          <w:rFonts w:ascii="Times New Roman" w:hAnsi="Times New Roman"/>
          <w:b w:val="false"/>
          <w:i w:val="false"/>
          <w:color w:val="000000"/>
          <w:sz w:val="22"/>
        </w:rPr>
        <w:t> </w:t>
      </w:r>
      <w:r>
        <w:rPr>
          <w:rFonts w:ascii="Times New Roman" w:hAnsi="Times New Roman"/>
          <w:b w:val="false"/>
          <w:i/>
          <w:color w:val="000000"/>
          <w:sz w:val="22"/>
        </w:rPr>
        <w:t xml:space="preserve">FIA-responsible persons. </w:t>
      </w:r>
      <w:r>
        <w:rPr>
          <w:rFonts w:ascii="Times New Roman" w:hAnsi="Times New Roman"/>
          <w:b w:val="false"/>
          <w:i w:val="false"/>
          <w:color w:val="000000"/>
          <w:sz w:val="22"/>
        </w:rPr>
        <w:t>The following persons are FIA-responsible unless the department determines the person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persons whose needs are included in a grant under the FIP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parent living in the home of a child receiving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FIP applicants unless the department determines that the applicant is exempt or does not meet other FIP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have chosen and are in an active limited benefit plan (LBP). FIA-responsible applicants in an active LBP shall complete significant contact with or action in regard to PROMISE JOBS as described in paragraphs </w:t>
      </w:r>
      <w:hyperlink r:id="rId6">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for FIP eligibility to be considered. For two-parent households, both parents must participate as previously stated except when one parent is exempt.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become exempt from PROMISE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is in a subsequent LBP and it is prior to the last day of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persons are exempt from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r>
        <w:rPr>
          <w:rFonts w:ascii="Times New Roman" w:hAnsi="Times New Roman"/>
          <w:b w:val="false"/>
          <w:i/>
          <w:color w:val="000000"/>
          <w:sz w:val="22"/>
        </w:rPr>
        <w:t>b.</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under the age of 16 and is not a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found eligible for supplemental security income (SSI) benefits based on disability or blindness.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aged 16 to 19, is not a parent, and attends an elementary, a secondary or an equivalent level of vocational or technical school full-time. For persons who lose exempt status for not attending school, once the person has signed an FIA, the person will remain referred to PROMISE JOBS and subject to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will be considered to be attending school full-time when enrolled or accepted in an elementary school, a secondary school, or the equivalent level of vocational or technical school or training leading to a certificate or diploma, and the school certifies the person’s attendance as full-time. Enrollment in a correspondence school that gives instruction courses by mail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will also be considered to be in regular attendance in months when the person is not attending because of an official school or training program vacation, an illness, a convalescence, or a family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child meets the definition of regular school attendance until the child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not a United States citizen and is not a “qualified alien” as defined in </w:t>
      </w:r>
      <w:hyperlink r:id="rId7">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41.24(3)</w:t>
      </w:r>
      <w:r>
        <w:rPr>
          <w:rFonts w:ascii="Times New Roman" w:hAnsi="Times New Roman"/>
          <w:b w:val="false"/>
          <w:i w:val="false"/>
          <w:color w:val="000000"/>
          <w:sz w:val="22"/>
        </w:rPr>
        <w:t> </w:t>
      </w:r>
      <w:r>
        <w:rPr>
          <w:rFonts w:ascii="Times New Roman" w:hAnsi="Times New Roman"/>
          <w:b w:val="false"/>
          <w:i/>
          <w:color w:val="000000"/>
          <w:sz w:val="22"/>
        </w:rPr>
        <w:t xml:space="preserve">Parents aged 19 and under.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8">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18 or 19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18 or 19 who has not successfully completed a high school education (or its equivalent) will be required to participate in educational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parent will be required to participate in other PROMISE JOBS options if the person fails to make good progress in completing educational activities or if it is determined that participation in educational activities is inappropriate for the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9">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exempt as described in subrule </w:t>
      </w:r>
      <w:hyperlink r:id="rId10">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parents aged 17 or younger are referred to PROMISE JOBS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parent aged 17 or younger who has not successfully completed a high school education or its equivalent will be required to participate in high school completion activities, directed toward the attainment of a high school diploma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parent will be required to participate in parenting skills training in accordance with </w:t>
      </w:r>
      <w:hyperlink r:id="rId11">
        <w:r>
          <w:rPr>
            <w:rStyle w:val="Hyperlink"/>
            <w:rFonts w:ascii="Times New Roman" w:hAnsi="Times New Roman"/>
            <w:b w:val="false"/>
            <w:i w:val="false"/>
            <w:color w:val="000000"/>
            <w:sz w:val="22"/>
          </w:rPr>
          <w:t>441—Chapter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41.24(4)</w:t>
      </w:r>
      <w:r>
        <w:rPr>
          <w:rFonts w:ascii="Times New Roman" w:hAnsi="Times New Roman"/>
          <w:b w:val="false"/>
          <w:i w:val="false"/>
          <w:color w:val="000000"/>
          <w:sz w:val="22"/>
        </w:rPr>
        <w:t> </w:t>
      </w:r>
      <w:r>
        <w:rPr>
          <w:rFonts w:ascii="Times New Roman" w:hAnsi="Times New Roman"/>
          <w:b w:val="false"/>
          <w:i/>
          <w:color w:val="000000"/>
          <w:sz w:val="22"/>
        </w:rPr>
        <w:t xml:space="preserve">Method of referral. </w:t>
      </w:r>
      <w:r>
        <w:rPr>
          <w:rFonts w:ascii="Times New Roman" w:hAnsi="Times New Roman"/>
          <w:b w:val="false"/>
          <w:i w:val="false"/>
          <w:color w:val="000000"/>
          <w:sz w:val="22"/>
        </w:rPr>
        <w:t xml:space="preserve">The department will refer each FIA-responsible person as defined in subrule </w:t>
      </w:r>
      <w:hyperlink r:id="rId12">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to PROMISE JOBS to sign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FIA-responsible applicants. </w:t>
      </w:r>
      <w:r>
        <w:rPr>
          <w:rFonts w:ascii="Times New Roman" w:hAnsi="Times New Roman"/>
          <w:b w:val="false"/>
          <w:i w:val="false"/>
          <w:color w:val="000000"/>
          <w:sz w:val="22"/>
        </w:rPr>
        <w:t>During the application interview, the department will notify the applicant of the requirement to sign an FIA as a condition of FIP eligibility. The department will refer the applicant by scheduling the applicant for an appointment with the PROMISE JOBS provider agency to develop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appointment will be on the earliest available date but no later than ten calendar days from the date of referral unless the applicant requests an appointment on a day that is beyond ten calendar days. The PROMISE JOBS provider agency shall make sufficient appointment times available to allow the applicant to be scheduled within this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verbally and in writing of the scheduled appointment. If the notice of a scheduled appointment is mailed to the applicant, the department will allow at least five working days from the date the notice is mailed for the applicant to appear for the scheduled appointment. The department may allow less than five working days if the applicant is verbally notified and agrees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parent fails to appear for an appointment without rescheduling or fails to sign an FIA, the department will deny FIP assistance for the entire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minor parent fails to appear for an appointment without rescheduling or fails to sign an FIA, the department will deny FIP assistance for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referred person who is not a parent fails to appear for an appointment without rescheduling or fails to sign an FIA, the department will deny FIP assistance only for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Hardship applicants. </w:t>
      </w:r>
      <w:r>
        <w:rPr>
          <w:rFonts w:ascii="Times New Roman" w:hAnsi="Times New Roman"/>
          <w:b w:val="false"/>
          <w:i w:val="false"/>
          <w:color w:val="000000"/>
          <w:sz w:val="22"/>
        </w:rPr>
        <w:t xml:space="preserve">While the eligibility decision is pending, unless the applicants are exempt from referral as defined in subrule </w:t>
      </w:r>
      <w:hyperlink r:id="rId13">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 xml:space="preserve">, the department will refer applicants who must qualify for a hardship exemption before approval of FIP to PROMISE JOBS to sign an FIA as described in paragraph </w:t>
      </w:r>
      <w:hyperlink r:id="rId14">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will treat applicants in accordance with subrule </w:t>
      </w:r>
      <w:hyperlink r:id="rId15">
        <w:r>
          <w:rPr>
            <w:rStyle w:val="Hyperlink"/>
            <w:rFonts w:ascii="Times New Roman" w:hAnsi="Times New Roman"/>
            <w:b w:val="false"/>
            <w:i w:val="false"/>
            <w:color w:val="000000"/>
            <w:sz w:val="22"/>
          </w:rPr>
          <w:t>41.30(3)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Applicants in an LBP. </w:t>
      </w:r>
      <w:r>
        <w:rPr>
          <w:rFonts w:ascii="Times New Roman" w:hAnsi="Times New Roman"/>
          <w:b w:val="false"/>
          <w:i w:val="false"/>
          <w:color w:val="000000"/>
          <w:sz w:val="22"/>
        </w:rPr>
        <w:t xml:space="preserve">The department will refer FIA-responsible applicants to PROMISE JOBS as described in paragraph </w:t>
      </w:r>
      <w:hyperlink r:id="rId16">
        <w:r>
          <w:rPr>
            <w:rStyle w:val="Hyperlink"/>
            <w:rFonts w:ascii="Times New Roman" w:hAnsi="Times New Roman"/>
            <w:b w:val="false"/>
            <w:i w:val="false"/>
            <w:color w:val="000000"/>
            <w:sz w:val="22"/>
          </w:rPr>
          <w:t>41.24(4)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inform the applicant of the actions needed to reconsider and end the LBP as described in subrule </w:t>
      </w:r>
      <w:hyperlink r:id="rId17">
        <w:r>
          <w:rPr>
            <w:rStyle w:val="Hyperlink"/>
            <w:rFonts w:ascii="Times New Roman" w:hAnsi="Times New Roman"/>
            <w:b w:val="false"/>
            <w:i w:val="false"/>
            <w:color w:val="000000"/>
            <w:sz w:val="22"/>
          </w:rPr>
          <w:t>41.24(8)</w:t>
        </w:r>
      </w:hyperlink>
      <w:r>
        <w:rPr>
          <w:rFonts w:ascii="Times New Roman" w:hAnsi="Times New Roman"/>
          <w:b w:val="false"/>
          <w:i w:val="false"/>
          <w:color w:val="000000"/>
          <w:sz w:val="22"/>
        </w:rPr>
        <w:t>. Failure to appear for the appointment without rescheduling or failure to sign an FIA results in denial of the FIP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FIP participants who become FIA-responsible. </w:t>
      </w:r>
      <w:r>
        <w:rPr>
          <w:rFonts w:ascii="Times New Roman" w:hAnsi="Times New Roman"/>
          <w:b w:val="false"/>
          <w:i w:val="false"/>
          <w:color w:val="000000"/>
          <w:sz w:val="22"/>
        </w:rPr>
        <w:t xml:space="preserve">When a person receiving FIP is no longer exempt, the department will send the FIP participant a notice. The notice will contain information about the requirement to sign an FIA and will instruct the FIP participant to contact PROMISE JOBS within ten calendar days to schedule an appointment with PROMISE JOBS to develop an FIA. If the participant fails to schedule or attend the appointment or fails to sign an FIA, PROMISE JOBS will send a clear written reminder. After one written reminder as described in </w:t>
      </w:r>
      <w:hyperlink r:id="rId18">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participant will enter into an LBP as described in paragraph </w:t>
      </w:r>
      <w:hyperlink r:id="rId19">
        <w:r>
          <w:rPr>
            <w:rStyle w:val="Hyperlink"/>
            <w:rFonts w:ascii="Times New Roman" w:hAnsi="Times New Roman"/>
            <w:b w:val="false"/>
            <w:i w:val="false"/>
            <w:color w:val="000000"/>
            <w:sz w:val="22"/>
          </w:rPr>
          <w:t>41.24(8)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41.24(5)</w:t>
      </w:r>
      <w:r>
        <w:rPr>
          <w:rFonts w:ascii="Times New Roman" w:hAnsi="Times New Roman"/>
          <w:b w:val="false"/>
          <w:i w:val="false"/>
          <w:color w:val="000000"/>
          <w:sz w:val="22"/>
        </w:rPr>
        <w:t> </w:t>
      </w:r>
      <w:r>
        <w:rPr>
          <w:rFonts w:ascii="Times New Roman" w:hAnsi="Times New Roman"/>
          <w:b w:val="false"/>
          <w:i/>
          <w:color w:val="000000"/>
          <w:sz w:val="22"/>
        </w:rPr>
        <w:t xml:space="preserve">Changes in status and redetermination of exempt status. </w:t>
      </w:r>
      <w:r>
        <w:rPr>
          <w:rFonts w:ascii="Times New Roman" w:hAnsi="Times New Roman"/>
          <w:b w:val="false"/>
          <w:i w:val="false"/>
          <w:color w:val="000000"/>
          <w:sz w:val="22"/>
        </w:rPr>
        <w:t>Any exempt person shall report any change affecting the exempt status to the department within ten days of the change. The department will reevaluate exempt persons when changes in status occur and at the time of six-month or annual review. The participant and the PROMISE JOBS unit will be notified of any change in a participant’s 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41.24(7)</w:t>
      </w:r>
      <w:r>
        <w:rPr>
          <w:rFonts w:ascii="Times New Roman" w:hAnsi="Times New Roman"/>
          <w:b w:val="false"/>
          <w:i w:val="false"/>
          <w:color w:val="000000"/>
          <w:sz w:val="22"/>
        </w:rPr>
        <w:t> </w:t>
      </w:r>
      <w:r>
        <w:rPr>
          <w:rFonts w:ascii="Times New Roman" w:hAnsi="Times New Roman"/>
          <w:b w:val="false"/>
          <w:i/>
          <w:color w:val="000000"/>
          <w:sz w:val="22"/>
        </w:rPr>
        <w:t xml:space="preserve">Referral to vocational rehabilitation. </w:t>
      </w:r>
      <w:r>
        <w:rPr>
          <w:rFonts w:ascii="Times New Roman" w:hAnsi="Times New Roman"/>
          <w:b w:val="false"/>
          <w:i w:val="false"/>
          <w:color w:val="000000"/>
          <w:sz w:val="22"/>
        </w:rPr>
        <w:t>The department will make the department of education, division of vocational rehabilitation services, aware of any person who is referred to PROMISE JOBS and who has a medically determined physical or mental disability and a substantial employment limitation resulting from the disability. However, acceptance of vocational rehabilitation services by the client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41.24(8)</w:t>
      </w:r>
      <w:r>
        <w:rPr>
          <w:rFonts w:ascii="Times New Roman" w:hAnsi="Times New Roman"/>
          <w:b w:val="false"/>
          <w:i w:val="false"/>
          <w:color w:val="000000"/>
          <w:sz w:val="22"/>
        </w:rPr>
        <w:t> </w:t>
      </w:r>
      <w:r>
        <w:rPr>
          <w:rFonts w:ascii="Times New Roman" w:hAnsi="Times New Roman"/>
          <w:b w:val="false"/>
          <w:i/>
          <w:color w:val="000000"/>
          <w:sz w:val="22"/>
        </w:rPr>
        <w:t xml:space="preserve">LBP. </w:t>
      </w:r>
      <w:r>
        <w:rPr>
          <w:rFonts w:ascii="Times New Roman" w:hAnsi="Times New Roman"/>
          <w:b w:val="false"/>
          <w:i w:val="false"/>
          <w:color w:val="000000"/>
          <w:sz w:val="22"/>
        </w:rPr>
        <w:t xml:space="preserve">When a participant responsible for signing and meeting the terms of an FIA chooses not to sign or fulfill the terms of the agreement, the FIP assistance unit or the individual participant will enter into an LBP. An LBP is considered imposed as of the date that a “timely” and “adequate notice” is issued to the participant as defined in rules </w:t>
      </w:r>
      <w:hyperlink r:id="rId20">
        <w:r>
          <w:rPr>
            <w:rStyle w:val="Hyperlink"/>
            <w:rFonts w:ascii="Times New Roman" w:hAnsi="Times New Roman"/>
            <w:b w:val="false"/>
            <w:i w:val="false"/>
            <w:color w:val="000000"/>
            <w:sz w:val="22"/>
          </w:rPr>
          <w:t>441—16.1</w:t>
        </w:r>
      </w:hyperlink>
      <w:r>
        <w:rPr>
          <w:rFonts w:ascii="Times New Roman" w:hAnsi="Times New Roman"/>
          <w:b w:val="false"/>
          <w:i w:val="false"/>
          <w:color w:val="000000"/>
          <w:sz w:val="22"/>
        </w:rPr>
        <w:t xml:space="preserve">(17A) and </w:t>
      </w:r>
      <w:hyperlink r:id="rId21">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 xml:space="preserve">(17A). Once the LBP is imposed, FIP eligibility no longer exists as of the first of the month after the month in which timely and adequate notice is given to the participant. Upon the issuance of the notice to impose an LBP, the person who chose the LBP can reconsider and end the LBP, but only as described in paragraphs </w:t>
      </w:r>
      <w:hyperlink r:id="rId22">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LBP shall either be a first LBP or a subsequent LBP. From the effective date of a first LBP, the FIP-eligible group or individual participant shall not be eligible until the participant who chose the LBP completes significant contact with or action in regard to the PROMISE JOBS program as defined in paragraph </w:t>
      </w:r>
      <w:hyperlink r:id="rId2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 subsequent LBP is chosen by the same participant, a six-month period of ineligibility applies to the FIP-eligible group or individual participant and ineligibility continues after the six-month period is over until the participant who chose the LBP completes significant contact with or action in regard to the PROMISE JOBS program as defined in paragraph </w:t>
      </w:r>
      <w:hyperlink r:id="rId24">
        <w:r>
          <w:rPr>
            <w:rStyle w:val="Hyperlink"/>
            <w:rFonts w:ascii="Times New Roman" w:hAnsi="Times New Roman"/>
            <w:b w:val="false"/>
            <w:i w:val="false"/>
            <w:color w:val="000000"/>
            <w:sz w:val="22"/>
          </w:rPr>
          <w:t>41.24(8)</w:t>
        </w:r>
      </w:hyperlink>
      <w:r>
        <w:rPr>
          <w:rFonts w:ascii="Times New Roman" w:hAnsi="Times New Roman"/>
          <w:b w:val="false"/>
          <w:i/>
          <w:color w:val="000000"/>
          <w:sz w:val="22"/>
        </w:rPr>
        <w:t>“e.”</w:t>
      </w:r>
      <w:r>
        <w:rPr>
          <w:rFonts w:ascii="Times New Roman" w:hAnsi="Times New Roman"/>
          <w:b w:val="false"/>
          <w:i w:val="false"/>
          <w:color w:val="000000"/>
          <w:sz w:val="22"/>
        </w:rPr>
        <w:t xml:space="preserve"> An LBP imposed in error as described in paragraph </w:t>
      </w:r>
      <w:hyperlink r:id="rId25">
        <w:r>
          <w:rPr>
            <w:rStyle w:val="Hyperlink"/>
            <w:rFonts w:ascii="Times New Roman" w:hAnsi="Times New Roman"/>
            <w:b w:val="false"/>
            <w:i w:val="false"/>
            <w:color w:val="000000"/>
            <w:sz w:val="22"/>
          </w:rPr>
          <w:t>41.24(8)</w:t>
        </w:r>
      </w:hyperlink>
      <w:r>
        <w:rPr>
          <w:rFonts w:ascii="Times New Roman" w:hAnsi="Times New Roman"/>
          <w:b w:val="false"/>
          <w:i/>
          <w:color w:val="000000"/>
          <w:sz w:val="22"/>
        </w:rPr>
        <w:t>“g”</w:t>
      </w:r>
      <w:r>
        <w:rPr>
          <w:rFonts w:ascii="Times New Roman" w:hAnsi="Times New Roman"/>
          <w:b w:val="false"/>
          <w:i w:val="false"/>
          <w:color w:val="000000"/>
          <w:sz w:val="22"/>
        </w:rPr>
        <w:t xml:space="preserve"> shall not be considered an LBP and shall not count when determining whether a household is subject to a subsequent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LBP shall be applied to participants responsible for the FIA and other members of the participant’s family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responsible for the FIA is a parent, the LBP shall apply to the entire FIP-eligible group as defined in subrule </w:t>
      </w:r>
      <w:hyperlink r:id="rId26">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participant choosing an LBP is a needy specified relative or a dependent child’s stepparent who is in the FIP-eligible group because of incapacity, the LBP shall apply only to the individual participant choosing the plan. Exception: The LBP shall apply to the entire FIP-eligible group as defined in subrule </w:t>
      </w:r>
      <w:hyperlink r:id="rId27">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xml:space="preserve"> when a needy specified relative who assumes the role of parent was responsible for the FIA and chose an LBP effective October 1, 2005, or earlier.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a minor parent living with the minor parent’s adult parent or needy specified relative who receives FIP benefits and both the minor parent and the adult parent or needy specified relative are responsible for developing an FIA, each parent or needy specified relative is responsible for a separate FIA, and the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adult parent chooses the LBP, the requirements of the LBP shall apply to the entire eligible group, even though the minor parent has not chosen the LBP. However, the minor parent may reapply for FIP benefits as a minor parent living with self-supporting parents or as a minor parent living independently and continue in the FIA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minor parent chooses the LBP, the requirements of the LBP shall apply to the minor parent and any child of the minor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minor parent is the only eligible child in the adult parent’s or needy specified relative’s home and the minor parent chooses the LBP, the adult parent’s or needy specified relative’s FIP eligibility ceases in accordance with subrule </w:t>
      </w:r>
      <w:hyperlink r:id="rId28">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adult parent or needy specified relative shall become ineligible beginning with the effective date of the minor parent’s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needy specified relative chooses the LBP, the requirements of the LBP shall apply as described in subparagraph </w:t>
      </w:r>
      <w:hyperlink r:id="rId29">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FIP-eligible group includes children who are FIA-responsible, the children shall not have a separate FIA but shall be asked to sign the eligible group’s FIA and to carry out the responsibilities of that FIA.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parent or needy specified relative responsible for an FIA meets those responsibilities but a child who is FIA-responsible chooses an individual LBP, the LBP shall apply only to the individual child choosing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child who chooses an LBP under numbered paragraph </w:t>
      </w:r>
      <w:hyperlink r:id="rId30">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 xml:space="preserve">(4)“1” is the only child in the eligible group, the parents’ or needy specified relative’s eligibility ceases in accordance with subrule </w:t>
      </w:r>
      <w:hyperlink r:id="rId31">
        <w:r>
          <w:rPr>
            <w:rStyle w:val="Hyperlink"/>
            <w:rFonts w:ascii="Times New Roman" w:hAnsi="Times New Roman"/>
            <w:b w:val="false"/>
            <w:i w:val="false"/>
            <w:color w:val="000000"/>
            <w:sz w:val="22"/>
          </w:rPr>
          <w:t>41.28(1)</w:t>
        </w:r>
      </w:hyperlink>
      <w:r>
        <w:rPr>
          <w:rFonts w:ascii="Times New Roman" w:hAnsi="Times New Roman"/>
          <w:b w:val="false"/>
          <w:i w:val="false"/>
          <w:color w:val="000000"/>
          <w:sz w:val="22"/>
        </w:rPr>
        <w:t>. The parents or needy specified relative shall become ineligible beginning with the effective date of the child’s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FIP-eligible group includes parents or needy specified relatives who are exempt from PROMISE JOBS participation and children who are FIA-responsible, the children are responsible for completing an FIA. If a child who is FIA-responsible chooses the LBP, the LBP shall be applied in the manner described in subparagraph </w:t>
      </w:r>
      <w:hyperlink r:id="rId32">
        <w:r>
          <w:rPr>
            <w:rStyle w:val="Hyperlink"/>
            <w:rFonts w:ascii="Times New Roman" w:hAnsi="Times New Roman"/>
            <w:b w:val="false"/>
            <w:i w:val="false"/>
            <w:color w:val="000000"/>
            <w:sz w:val="22"/>
          </w:rPr>
          <w:t>41.24(8)</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both parents of an FIP child are in the home, an LBP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only one parent of a child in the eligible group is responsible for an FIA and that parent chooses the LBP, the LBP applies to the entire family and cannot be ended by the voluntary participation in an FIA by the exempt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both parents of a child in the eligible group are responsible for an FIA, both are expected to sign the agreement. If either parent chooses the LBP, the LBP cannot be ended by the participation of the other parent in an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parents from a two-parent family in an LBP separate, the LBP shall follow only the parent who chose the LBP and any children in the home of that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subsequent LBP applies when either parent in a two-parent family previously chose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considered to have chosen an LBP under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participant who loses exempt status and is referred to PROMISE JOBS as described in paragraph </w:t>
      </w:r>
      <w:hyperlink r:id="rId33">
        <w:r>
          <w:rPr>
            <w:rStyle w:val="Hyperlink"/>
            <w:rFonts w:ascii="Times New Roman" w:hAnsi="Times New Roman"/>
            <w:b w:val="false"/>
            <w:i w:val="false"/>
            <w:color w:val="000000"/>
            <w:sz w:val="22"/>
          </w:rPr>
          <w:t>41.24(4)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who does not schedule or attend an appointment for orientation and development of an FIA with PROMISE JOBS after PROMISE JOBS sends one clear written reminder as described in </w:t>
      </w:r>
      <w:hyperlink r:id="rId34">
        <w:r>
          <w:rPr>
            <w:rStyle w:val="Hyperlink"/>
            <w:rFonts w:ascii="Times New Roman" w:hAnsi="Times New Roman"/>
            <w:b w:val="false"/>
            <w:i w:val="false"/>
            <w:color w:val="000000"/>
            <w:sz w:val="22"/>
          </w:rPr>
          <w:t>441—paragraph 93.3(3)</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enter into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participant who chooses not to sign the FIA shall enter into the LBP. For an applicant, signing an FIA is an FIP eligibility requirement. If an applicant chooses not to sign the agreement, the LBP process is not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participant who signs an FIA but does not carry out the FIA responsibilities shall enter into an LBP whether the person signed the agreement as an FIP applicant or as an FIP participant. This includes a participant who fails to respond to the PROMISE JOBS worker’s request to renegotiate the FIA when the participant has not attained self-sufficiency by the date established in the FIA. An LBP shall be imposed regardless of whether the request to renegotiate is made before or after expiration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Reconsideration of a first LBP. A person who chooses a first LBP may reconsider at any time from the date timely and adequate notice is issued establishing the LBP. To reconsider and end the LBP, the person must communicate the desire to engage in PROMISE JOBS activities to the department or appropriate PROMISE JOBS office and develop and sign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Since a first LBP is considered imposed as of the date that a timely and adequate notice is issued, the person who chose the LBP cannot end it by complying with the issue that resulted in its imposition. To end the LBP, the person must also sign an FIA, even if the person had signed an agreement before choosing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be effective the date the FIA is signed or the effective date of the grant as described in rule </w:t>
      </w:r>
      <w:hyperlink r:id="rId35">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 xml:space="preserve">(239B), whichever date is later. FIP benefits may be reinstated in accordance with </w:t>
      </w:r>
      <w:hyperlink r:id="rId36">
        <w:r>
          <w:rPr>
            <w:rStyle w:val="Hyperlink"/>
            <w:rFonts w:ascii="Times New Roman" w:hAnsi="Times New Roman"/>
            <w:b w:val="false"/>
            <w:i w:val="false"/>
            <w:color w:val="000000"/>
            <w:sz w:val="22"/>
          </w:rPr>
          <w:t>441—subrule 40.22(5)</w:t>
        </w:r>
      </w:hyperlink>
      <w:r>
        <w:rPr>
          <w:rFonts w:ascii="Times New Roman" w:hAnsi="Times New Roman"/>
          <w:b w:val="false"/>
          <w:i w:val="false"/>
          <w:color w:val="000000"/>
          <w:sz w:val="22"/>
        </w:rPr>
        <w:t xml:space="preserve"> when the FIA is signed before the effective date of a first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Reconsideration of a subsequent LBP. A person who chooses a subsequent LBP may reconsider that choice at any time following the required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subsequent LBP is considered imposed as of the date that a timely and adequate notice is issued to establish the LBP. Therefore, once timely and adequate notice is issued, the person who chose the LBP cannot end it by complying with the issue that resulted in its imposition.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FIP eligibility no longer exists as of the effective date of the LBP. Eligibility cannot be reestablished until the six-month period of ineligibility has expired. FIP eligibility does not exist for a person who reapplies for FIP after the notice is issued and before the effective date of the LBP because the person is not eligible to sign an FIA until the six-month period of ineligibility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reconsider and end the LBP, the person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the department or the appropriate PROMISE JOBS office to communicate the desire to engage in PROMISE JOBS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 a new or updated FIA,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Satisfactorily complete 20 hours of employment or the equivalent in an activity other than work experience or unpaid community service unless problems as described in rule </w:t>
      </w:r>
      <w:hyperlink r:id="rId37">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38">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 The 20 hours of employment or other activity must be completed within 30 days of the date that the FIA is signed unless problems as described in rule </w:t>
      </w:r>
      <w:hyperlink r:id="rId39">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barriers as described in </w:t>
      </w:r>
      <w:hyperlink r:id="rId40">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FIP benefits shall not begin until the person who chose the LBP completes the previously defined significant actions. FIP benefits shall be effective the date the FIA is signed or the effective date of the grant as described in rule </w:t>
      </w:r>
      <w:hyperlink r:id="rId41">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 whichever date is later, but in no case shall the effective date be within the six-month period of ineligibility.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Reconsideration by two-parent family. For a two-parent family when both parents are responsible for an FIA as described in subrule </w:t>
      </w:r>
      <w:hyperlink r:id="rId42">
        <w:r>
          <w:rPr>
            <w:rStyle w:val="Hyperlink"/>
            <w:rFonts w:ascii="Times New Roman" w:hAnsi="Times New Roman"/>
            <w:b w:val="false"/>
            <w:i w:val="false"/>
            <w:color w:val="000000"/>
            <w:sz w:val="22"/>
          </w:rPr>
          <w:t>41.24(1)</w:t>
        </w:r>
      </w:hyperlink>
      <w:r>
        <w:rPr>
          <w:rFonts w:ascii="Times New Roman" w:hAnsi="Times New Roman"/>
          <w:b w:val="false"/>
          <w:i w:val="false"/>
          <w:color w:val="000000"/>
          <w:sz w:val="22"/>
        </w:rPr>
        <w:t xml:space="preserve">, a first or subsequent LBP continues until both parents have completed significant contact or action with the PROMISE JOBS program as described in paragraphs </w:t>
      </w:r>
      <w:hyperlink r:id="rId43">
        <w:r>
          <w:rPr>
            <w:rStyle w:val="Hyperlink"/>
            <w:rFonts w:ascii="Times New Roman" w:hAnsi="Times New Roman"/>
            <w:b w:val="false"/>
            <w:i w:val="false"/>
            <w:color w:val="000000"/>
            <w:sz w:val="22"/>
          </w:rPr>
          <w:t>41.24(8)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LBP imposed in error. An LBP imposed in error will not be considered an LBP. This includes any instance when participation in PROMISE JOBS should not have been required as described in the administrative rules. Examples of instances when an error has occurred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was exempt from PROMISE JOBS participation at the time the person chose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 is verified that the person considered to have chosen the LBP moved out of state or requested cancellation of FIP prior to the date that PROMISE JOBS determined the LBP was chosen.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appeal decision under </w:t>
      </w:r>
      <w:hyperlink r:id="rId4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reverses the decision to impose an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It is determined that the entire amount of assistance issued for the person who chose the LBP is subject to recoupment for the month when the person chose not to fulfill the terms of the FIA.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informs PROMISE JOBS of a newly revealed problem as described in rule </w:t>
      </w:r>
      <w:hyperlink r:id="rId45">
        <w:r>
          <w:rPr>
            <w:rStyle w:val="Hyperlink"/>
            <w:rFonts w:ascii="Times New Roman" w:hAnsi="Times New Roman"/>
            <w:b w:val="false"/>
            <w:i w:val="false"/>
            <w:color w:val="000000"/>
            <w:sz w:val="22"/>
          </w:rPr>
          <w:t>441—93.14</w:t>
        </w:r>
      </w:hyperlink>
      <w:r>
        <w:rPr>
          <w:rFonts w:ascii="Times New Roman" w:hAnsi="Times New Roman"/>
          <w:b w:val="false"/>
          <w:i w:val="false"/>
          <w:color w:val="000000"/>
          <w:sz w:val="22"/>
        </w:rPr>
        <w:t xml:space="preserve">(239B) or barrier as described in </w:t>
      </w:r>
      <w:hyperlink r:id="rId46">
        <w:r>
          <w:rPr>
            <w:rStyle w:val="Hyperlink"/>
            <w:rFonts w:ascii="Times New Roman" w:hAnsi="Times New Roman"/>
            <w:b w:val="false"/>
            <w:i w:val="false"/>
            <w:color w:val="000000"/>
            <w:sz w:val="22"/>
          </w:rPr>
          <w:t>441—subrule 93.4(5)</w:t>
        </w:r>
      </w:hyperlink>
      <w:r>
        <w:rPr>
          <w:rFonts w:ascii="Times New Roman" w:hAnsi="Times New Roman"/>
          <w:b w:val="false"/>
          <w:i w:val="false"/>
          <w:color w:val="000000"/>
          <w:sz w:val="22"/>
        </w:rPr>
        <w:t xml:space="preserve"> after the LBP is imposed, and it is reasonable that the problem or barrier contributed to a failure that resulted in imposition of the LBP. The person may be required to provide documentation of the problem or barrier as described in </w:t>
      </w:r>
      <w:hyperlink r:id="rId47">
        <w:r>
          <w:rPr>
            <w:rStyle w:val="Hyperlink"/>
            <w:rFonts w:ascii="Times New Roman" w:hAnsi="Times New Roman"/>
            <w:b w:val="false"/>
            <w:i w:val="false"/>
            <w:color w:val="000000"/>
            <w:sz w:val="22"/>
          </w:rPr>
          <w:t>441—subrule 93.10(3)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41.24(10)</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 advantages of employment under FIP.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a full explanation of the family rights, responsibilities, and obligations under PROMISE JOBS and the FIA, with information on the time-limited nature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information on the employment, education and training opportunities, and support services to which they are entitled under PROMISE JOBS, as well as the obligations of the department. This information will include explanations of child care assistance and transitional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applicants for and recipients of FIP benefits of the grounds for exemption from FIA responsibility and from participation in the PROMISE JOBS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explain the LBP and the process by which FIA-responsible persons can choose the LBP.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inform all applicants for and recipients of FIP of their responsibility to cooperate in establishing paternity and enforcing child support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inform applicants for FIP benefits that an FIA must be signed before FIP approval as a condition of eligibility, except as described in subrule </w:t>
      </w:r>
      <w:hyperlink r:id="rId48">
        <w:r>
          <w:rPr>
            <w:rStyle w:val="Hyperlink"/>
            <w:rFonts w:ascii="Times New Roman" w:hAnsi="Times New Roman"/>
            <w:b w:val="false"/>
            <w:i w:val="false"/>
            <w:color w:val="000000"/>
            <w:sz w:val="22"/>
          </w:rPr>
          <w:t>41.24(2)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9277C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3.1.pdf" Type="http://schemas.openxmlformats.org/officeDocument/2006/relationships/hyperlink" Id="rId4"/>
    <Relationship TargetMode="External" Target="https://www.legis.iowa.gov/docs/iac/rule/441.41.24.pdf" Type="http://schemas.openxmlformats.org/officeDocument/2006/relationships/hyperlink" Id="rId5"/>
    <Relationship TargetMode="External" Target="https://www.legis.iowa.gov/docs/iac/rule/441.41.24.pdf" Type="http://schemas.openxmlformats.org/officeDocument/2006/relationships/hyperlink" Id="rId6"/>
    <Relationship TargetMode="External" Target="https://www.legis.iowa.gov/docs/iac/rule/441.40.21.pdf" Type="http://schemas.openxmlformats.org/officeDocument/2006/relationships/hyperlink" Id="rId7"/>
    <Relationship TargetMode="External" Target="https://www.legis.iowa.gov/docs/iac/rule/441.41.24.pdf" Type="http://schemas.openxmlformats.org/officeDocument/2006/relationships/hyperlink" Id="rId8"/>
    <Relationship TargetMode="External" Target="https://www.legis.iowa.gov/docs/iac/chapter/441.93.pdf" Type="http://schemas.openxmlformats.org/officeDocument/2006/relationships/hyperlink" Id="rId9"/>
    <Relationship TargetMode="External" Target="https://www.legis.iowa.gov/docs/iac/rule/441.41.24.pdf" Type="http://schemas.openxmlformats.org/officeDocument/2006/relationships/hyperlink" Id="rId10"/>
    <Relationship TargetMode="External" Target="https://www.legis.iowa.gov/docs/iac/chapter/441.93.pdf" Type="http://schemas.openxmlformats.org/officeDocument/2006/relationships/hyperlink" Id="rId11"/>
    <Relationship TargetMode="External" Target="https://www.legis.iowa.gov/docs/iac/rule/441.41.24.pdf" Type="http://schemas.openxmlformats.org/officeDocument/2006/relationships/hyperlink" Id="rId12"/>
    <Relationship TargetMode="External" Target="https://www.legis.iowa.gov/docs/iac/rule/441.41.24.pdf" Type="http://schemas.openxmlformats.org/officeDocument/2006/relationships/hyperlink" Id="rId13"/>
    <Relationship TargetMode="External" Target="https://www.legis.iowa.gov/docs/iac/rule/441.41.24.pdf" Type="http://schemas.openxmlformats.org/officeDocument/2006/relationships/hyperlink" Id="rId14"/>
    <Relationship TargetMode="External" Target="https://www.legis.iowa.gov/docs/iac/rule/441.41.30.pdf" Type="http://schemas.openxmlformats.org/officeDocument/2006/relationships/hyperlink" Id="rId15"/>
    <Relationship TargetMode="External" Target="https://www.legis.iowa.gov/docs/iac/rule/441.41.24.pdf" Type="http://schemas.openxmlformats.org/officeDocument/2006/relationships/hyperlink" Id="rId16"/>
    <Relationship TargetMode="External" Target="https://www.legis.iowa.gov/docs/iac/rule/441.41.24.pdf" Type="http://schemas.openxmlformats.org/officeDocument/2006/relationships/hyperlink" Id="rId17"/>
    <Relationship TargetMode="External" Target="https://www.legis.iowa.gov/docs/iac/rule/441.93.3.pdf" Type="http://schemas.openxmlformats.org/officeDocument/2006/relationships/hyperlink" Id="rId18"/>
    <Relationship TargetMode="External" Target="https://www.legis.iowa.gov/docs/iac/rule/441.41.24.pdf" Type="http://schemas.openxmlformats.org/officeDocument/2006/relationships/hyperlink" Id="rId19"/>
    <Relationship TargetMode="External" Target="https://www.legis.iowa.gov/docs/iac/rule/441.16.1.pdf" Type="http://schemas.openxmlformats.org/officeDocument/2006/relationships/hyperlink" Id="rId20"/>
    <Relationship TargetMode="External" Target="https://www.legis.iowa.gov/docs/iac/rule/441.16.2.pdf" Type="http://schemas.openxmlformats.org/officeDocument/2006/relationships/hyperlink" Id="rId21"/>
    <Relationship TargetMode="External" Target="https://www.legis.iowa.gov/docs/iac/rule/441.41.24.pdf" Type="http://schemas.openxmlformats.org/officeDocument/2006/relationships/hyperlink" Id="rId22"/>
    <Relationship TargetMode="External" Target="https://www.legis.iowa.gov/docs/iac/rule/441.41.24.pdf" Type="http://schemas.openxmlformats.org/officeDocument/2006/relationships/hyperlink" Id="rId23"/>
    <Relationship TargetMode="External" Target="https://www.legis.iowa.gov/docs/iac/rule/441.41.24.pdf" Type="http://schemas.openxmlformats.org/officeDocument/2006/relationships/hyperlink" Id="rId24"/>
    <Relationship TargetMode="External" Target="https://www.legis.iowa.gov/docs/iac/rule/441.41.24.pdf" Type="http://schemas.openxmlformats.org/officeDocument/2006/relationships/hyperlink" Id="rId25"/>
    <Relationship TargetMode="External" Target="https://www.legis.iowa.gov/docs/iac/rule/441.41.28.pdf" Type="http://schemas.openxmlformats.org/officeDocument/2006/relationships/hyperlink" Id="rId26"/>
    <Relationship TargetMode="External" Target="https://www.legis.iowa.gov/docs/iac/rule/441.41.28.pdf" Type="http://schemas.openxmlformats.org/officeDocument/2006/relationships/hyperlink" Id="rId27"/>
    <Relationship TargetMode="External" Target="https://www.legis.iowa.gov/docs/iac/rule/441.41.28.pdf" Type="http://schemas.openxmlformats.org/officeDocument/2006/relationships/hyperlink" Id="rId28"/>
    <Relationship TargetMode="External" Target="https://www.legis.iowa.gov/docs/iac/rule/441.41.24.pdf" Type="http://schemas.openxmlformats.org/officeDocument/2006/relationships/hyperlink" Id="rId29"/>
    <Relationship TargetMode="External" Target="https://www.legis.iowa.gov/docs/iac/rule/441.41.24.pdf" Type="http://schemas.openxmlformats.org/officeDocument/2006/relationships/hyperlink" Id="rId30"/>
    <Relationship TargetMode="External" Target="https://www.legis.iowa.gov/docs/iac/rule/441.41.28.pdf" Type="http://schemas.openxmlformats.org/officeDocument/2006/relationships/hyperlink" Id="rId31"/>
    <Relationship TargetMode="External" Target="https://www.legis.iowa.gov/docs/iac/rule/441.41.24.pdf" Type="http://schemas.openxmlformats.org/officeDocument/2006/relationships/hyperlink" Id="rId32"/>
    <Relationship TargetMode="External" Target="https://www.legis.iowa.gov/docs/iac/rule/441.41.24.pdf" Type="http://schemas.openxmlformats.org/officeDocument/2006/relationships/hyperlink" Id="rId33"/>
    <Relationship TargetMode="External" Target="https://www.legis.iowa.gov/docs/iac/rule/441.93.3.pdf" Type="http://schemas.openxmlformats.org/officeDocument/2006/relationships/hyperlink" Id="rId34"/>
    <Relationship TargetMode="External" Target="https://www.legis.iowa.gov/docs/iac/rule/441.40.26.pdf" Type="http://schemas.openxmlformats.org/officeDocument/2006/relationships/hyperlink" Id="rId35"/>
    <Relationship TargetMode="External" Target="https://www.legis.iowa.gov/docs/iac/rule/441.40.22.pdf" Type="http://schemas.openxmlformats.org/officeDocument/2006/relationships/hyperlink" Id="rId36"/>
    <Relationship TargetMode="External" Target="https://www.legis.iowa.gov/docs/iac/rule/441.93.14.pdf" Type="http://schemas.openxmlformats.org/officeDocument/2006/relationships/hyperlink" Id="rId37"/>
    <Relationship TargetMode="External" Target="https://www.legis.iowa.gov/docs/iac/rule/441.93.4.pdf" Type="http://schemas.openxmlformats.org/officeDocument/2006/relationships/hyperlink" Id="rId38"/>
    <Relationship TargetMode="External" Target="https://www.legis.iowa.gov/docs/iac/rule/441.93.14.pdf" Type="http://schemas.openxmlformats.org/officeDocument/2006/relationships/hyperlink" Id="rId39"/>
    <Relationship TargetMode="External" Target="https://www.legis.iowa.gov/docs/iac/rule/441.93.4.pdf" Type="http://schemas.openxmlformats.org/officeDocument/2006/relationships/hyperlink" Id="rId40"/>
    <Relationship TargetMode="External" Target="https://www.legis.iowa.gov/docs/iac/rule/441.40.26.pdf" Type="http://schemas.openxmlformats.org/officeDocument/2006/relationships/hyperlink" Id="rId41"/>
    <Relationship TargetMode="External" Target="https://www.legis.iowa.gov/docs/iac/rule/441.41.24.pdf" Type="http://schemas.openxmlformats.org/officeDocument/2006/relationships/hyperlink" Id="rId42"/>
    <Relationship TargetMode="External" Target="https://www.legis.iowa.gov/docs/iac/rule/441.41.24.pdf" Type="http://schemas.openxmlformats.org/officeDocument/2006/relationships/hyperlink" Id="rId43"/>
    <Relationship TargetMode="External" Target="https://www.legis.iowa.gov/docs/iac/chapter/441.2506.pdf" Type="http://schemas.openxmlformats.org/officeDocument/2006/relationships/hyperlink" Id="rId44"/>
    <Relationship TargetMode="External" Target="https://www.legis.iowa.gov/docs/iac/rule/441.93.14.pdf" Type="http://schemas.openxmlformats.org/officeDocument/2006/relationships/hyperlink" Id="rId45"/>
    <Relationship TargetMode="External" Target="https://www.legis.iowa.gov/docs/iac/rule/441.93.4.pdf" Type="http://schemas.openxmlformats.org/officeDocument/2006/relationships/hyperlink" Id="rId46"/>
    <Relationship TargetMode="External" Target="https://www.legis.iowa.gov/docs/iac/rule/441.93.10.pdf" Type="http://schemas.openxmlformats.org/officeDocument/2006/relationships/hyperlink" Id="rId47"/>
    <Relationship TargetMode="External" Target="https://www.legis.iowa.gov/docs/iac/rule/441.41.24.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