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441—38.4</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Conflict of interest policy. </w:t>
      </w:r>
      <w:r>
        <w:rPr>
          <w:rFonts w:ascii="Times New Roman" w:hAnsi="Times New Roman"/>
          <w:b w:val="false"/>
          <w:i w:val="false"/>
          <w:color w:val="000000"/>
          <w:sz w:val="22"/>
        </w:rPr>
        <w:t>All Iowa DD council members and those serving in an advisory capacity to the Iowa DD council shall not engage in activities that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val="false"/>
          <w:color w:val="000000"/>
          <w:sz w:val="22"/>
        </w:rPr>
        <w:t>Iowa DD council members and those serving in an advisory role to the Iowa DD council are prohibited from applying for any project when they were involved in recommending the project or designing or developing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val="false"/>
          <w:color w:val="000000"/>
          <w:sz w:val="22"/>
        </w:rPr>
        <w:t>All Iowa DD council members and those serving in an advisory capacity to the Iowa DD council who serve or whose family members serve as officers, directors, partners, consultants, or employees of the applicant being evaluated shall be excluded from preliminary review of proposals, discussing with Iowa DD council members who will be voting, and advising or voting on the evaluation of that applicant and all other applicants submitting proposals in that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