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441—38.3</w:t>
      </w:r>
      <w:r>
        <w:rPr>
          <w:rFonts w:ascii="Times New Roman" w:hAnsi="Times New Roman"/>
          <w:b/>
          <w:i w:val="false"/>
          <w:color w:val="000000"/>
          <w:sz w:val="22"/>
        </w:rPr>
        <w:t xml:space="preserve">(217,42USC144) </w:t>
      </w:r>
      <w:r>
        <w:rPr>
          <w:rFonts w:ascii="Times New Roman" w:hAnsi="Times New Roman"/>
          <w:b/>
          <w:i w:val="false"/>
          <w:color w:val="000000"/>
          <w:sz w:val="22"/>
        </w:rPr>
        <w:t xml:space="preserve">Program eligibility. </w:t>
      </w:r>
      <w:r>
        <w:rPr>
          <w:rFonts w:ascii="Times New Roman" w:hAnsi="Times New Roman"/>
          <w:b w:val="false"/>
          <w:i w:val="false"/>
          <w:color w:val="000000"/>
          <w:sz w:val="22"/>
        </w:rPr>
        <w:t xml:space="preserve">For any year in which Congress appropriates funds, the Iowa DD council shall, consistent with the state plan and the priorities established under the DD Act, determine projects to fund under the developmental disabilities basic state grant program. Funding priorities will be established by the Iowa DD council in the state plan and will be consistent with the priorities established in the DD Act. (Applications for capital expenditures or capital renovations are not eligible for funding.) The Iowa DD council may award funding through any of the department-approved processes for competitive, sole source, or unsolicited proposals in accordance with the provisions of </w:t>
      </w:r>
      <w:hyperlink r:id="rId4">
        <w:r>
          <w:rPr>
            <w:rStyle w:val="Hyperlink"/>
            <w:rFonts w:ascii="Times New Roman" w:hAnsi="Times New Roman"/>
            <w:b w:val="false"/>
            <w:i w:val="false"/>
            <w:color w:val="000000"/>
            <w:sz w:val="22"/>
          </w:rPr>
          <w:t>11—Chapter 117</w:t>
        </w:r>
      </w:hyperlink>
      <w:r>
        <w:rPr>
          <w:rFonts w:ascii="Times New Roman" w:hAnsi="Times New Roman"/>
          <w:b w:val="false"/>
          <w:i w:val="false"/>
          <w:color w:val="000000"/>
          <w:sz w:val="22"/>
        </w:rPr>
        <w:t xml:space="preserve"> for the procurement of goods and services of general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1.11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