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441—38.2</w:t>
      </w:r>
      <w:r>
        <w:rPr>
          <w:rFonts w:ascii="Times New Roman" w:hAnsi="Times New Roman"/>
          <w:b/>
          <w:i w:val="false"/>
          <w:color w:val="000000"/>
          <w:sz w:val="22"/>
        </w:rPr>
        <w:t xml:space="preserve">(217,42USC144)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 Act”</w:t>
      </w:r>
      <w:r>
        <w:rPr>
          <w:rFonts w:ascii="Times New Roman" w:hAnsi="Times New Roman"/>
          <w:b w:val="false"/>
          <w:i w:val="false"/>
          <w:color w:val="000000"/>
          <w:sz w:val="22"/>
        </w:rPr>
        <w:t> </w:t>
      </w:r>
      <w:r>
        <w:rPr>
          <w:rFonts w:ascii="Times New Roman" w:hAnsi="Times New Roman"/>
          <w:b w:val="false"/>
          <w:i w:val="false"/>
          <w:color w:val="000000"/>
          <w:sz w:val="22"/>
        </w:rPr>
        <w:t>means the Developmental Disabilities Assistance and Bill of Rights Act of 2000, 42 U.S.C. Chapter 144 as amended to August 1, 2026. All references to the DD Act herein are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“Developmental disability”</w:t>
      </w:r>
      <w:r>
        <w:rPr>
          <w:rFonts w:ascii="Times New Roman" w:hAnsi="Times New Roman"/>
          <w:b w:val="false"/>
          <w:i w:val="false"/>
          <w:color w:val="000000"/>
          <w:sz w:val="22"/>
        </w:rPr>
        <w:t> </w:t>
      </w:r>
      <w:r>
        <w:rPr>
          <w:rFonts w:ascii="Times New Roman" w:hAnsi="Times New Roman"/>
          <w:b w:val="false"/>
          <w:i w:val="false"/>
          <w:color w:val="000000"/>
          <w:sz w:val="22"/>
        </w:rPr>
        <w:t>means a severe, chronic disability of a person that is attributed to a mental or physical impairment or a combination of mental and physical impairments; is manifested before the person attains the age of 22; is likely to continue indefinitely; substantially limits the person’s ability to carry out major life activities in at least three of the areas of self-care, receptive and expressive language, learning, mobility, self-direction, and capacity for independent living and economic self-sufficiency; and reflects an ongoing need for individualized, coordinated services. The term, when applied to infants and children from birth to the age of nine, means a substantial developmental delay or specific congenital or acquired conditions with a high probability of resulting in developmental disabilities if services are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DD council”</w:t>
      </w:r>
      <w:r>
        <w:rPr>
          <w:rFonts w:ascii="Times New Roman" w:hAnsi="Times New Roman"/>
          <w:b w:val="false"/>
          <w:i w:val="false"/>
          <w:color w:val="000000"/>
          <w:sz w:val="22"/>
        </w:rPr>
        <w:t> </w:t>
      </w:r>
      <w:r>
        <w:rPr>
          <w:rFonts w:ascii="Times New Roman" w:hAnsi="Times New Roman"/>
          <w:b w:val="false"/>
          <w:i w:val="false"/>
          <w:color w:val="000000"/>
          <w:sz w:val="22"/>
        </w:rPr>
        <w:t>means the Iowa developmental disabilities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“Projects”</w:t>
      </w:r>
      <w:r>
        <w:rPr>
          <w:rFonts w:ascii="Times New Roman" w:hAnsi="Times New Roman"/>
          <w:b w:val="false"/>
          <w:i w:val="false"/>
          <w:color w:val="000000"/>
          <w:sz w:val="22"/>
        </w:rPr>
        <w:t> </w:t>
      </w:r>
      <w:r>
        <w:rPr>
          <w:rFonts w:ascii="Times New Roman" w:hAnsi="Times New Roman"/>
          <w:b w:val="false"/>
          <w:i w:val="false"/>
          <w:color w:val="000000"/>
          <w:sz w:val="22"/>
        </w:rPr>
        <w:t>means activities described in the Iowa DD council’s five-year plan that are designed to address the purpose and priorities established by the DD Act to undertake advocacy, capacity-building, and systemic-change activities that contribute to a coordinated, person- and family-centered, and individual- and family-directed comprehensive system of community services, individualized supports, and other forms of assistance that promote self-determination for individuals with developmental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plan”</w:t>
      </w:r>
      <w:r>
        <w:rPr>
          <w:rFonts w:ascii="Times New Roman" w:hAnsi="Times New Roman"/>
          <w:b w:val="false"/>
          <w:i w:val="false"/>
          <w:color w:val="000000"/>
          <w:sz w:val="22"/>
        </w:rPr>
        <w:t> </w:t>
      </w:r>
      <w:r>
        <w:rPr>
          <w:rFonts w:ascii="Times New Roman" w:hAnsi="Times New Roman"/>
          <w:b w:val="false"/>
          <w:i w:val="false"/>
          <w:color w:val="000000"/>
          <w:sz w:val="22"/>
        </w:rPr>
        <w:t>means the document required under the DD Act that describes goals, objectives and funding priorities.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