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441—301.4</w:t>
      </w:r>
      <w:r>
        <w:rPr>
          <w:rFonts w:ascii="Times New Roman" w:hAnsi="Times New Roman"/>
          <w:b/>
          <w:i w:val="false"/>
          <w:color w:val="000000"/>
          <w:sz w:val="22"/>
        </w:rPr>
        <w:t xml:space="preserve">(225A) </w:t>
      </w:r>
      <w:r>
        <w:rPr>
          <w:rFonts w:ascii="Times New Roman" w:hAnsi="Times New Roman"/>
          <w:b/>
          <w:i w:val="false"/>
          <w:color w:val="000000"/>
          <w:sz w:val="22"/>
        </w:rPr>
        <w:t xml:space="preserve">Appeal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the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action”</w:t>
      </w:r>
      <w:r>
        <w:rPr>
          <w:rFonts w:ascii="Times New Roman" w:hAnsi="Times New Roman"/>
          <w:b w:val="false"/>
          <w:i w:val="false"/>
          <w:color w:val="000000"/>
          <w:sz w:val="22"/>
        </w:rPr>
        <w:t> </w:t>
      </w:r>
      <w:r>
        <w:rPr>
          <w:rFonts w:ascii="Times New Roman" w:hAnsi="Times New Roman"/>
          <w:b w:val="false"/>
          <w:i w:val="false"/>
          <w:color w:val="000000"/>
          <w:sz w:val="22"/>
        </w:rPr>
        <w:t>includes the whole or part of an agency rule or other statement of law or policy, order, decision, license, proceeding, investigation, sanction, relief, or the equivalent or a denial thereof, or a failure to act, or any other exercise of agency discretion or failure to do so, or the performance of any agency duty or the failure to do so.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“Appellant”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person bringing an appeal under this chapter, including any person’s authorized representative as defined in subrule </w:t>
      </w:r>
      <w:hyperlink r:id="rId4">
        <w:r>
          <w:rPr>
            <w:rStyle w:val="Hyperlink"/>
            <w:rFonts w:ascii="Times New Roman" w:hAnsi="Times New Roman"/>
            <w:b w:val="false"/>
            <w:i w:val="false"/>
            <w:color w:val="000000"/>
            <w:sz w:val="22"/>
          </w:rPr>
          <w:t>301.4(14)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partnership, corporation, association, governmental subdivision, or public or private organization of any character other than an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“Reviewer”</w:t>
      </w:r>
      <w:r>
        <w:rPr>
          <w:rFonts w:ascii="Times New Roman" w:hAnsi="Times New Roman"/>
          <w:b w:val="false"/>
          <w:i w:val="false"/>
          <w:color w:val="000000"/>
          <w:sz w:val="22"/>
        </w:rPr>
        <w:t> </w:t>
      </w:r>
      <w:r>
        <w:rPr>
          <w:rFonts w:ascii="Times New Roman" w:hAnsi="Times New Roman"/>
          <w:b w:val="false"/>
          <w:i w:val="false"/>
          <w:color w:val="000000"/>
          <w:sz w:val="22"/>
        </w:rPr>
        <w:t>means the individual assigned by the department to review an appeal record and issue a written decision on behalf of the department. The department’s reviewer will be screened from the underlying case and will not have prior knowledge of the facts that precipitated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301.4(2)</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A person that disagrees with the department’s agency action related to an eligibility determination or denial of behavioral health services may request an appeal within 120 calendar days of the date of the determination 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actions may be appealed: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determination that eligibility criteria have not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denial or limited authorization of a requested service, including the type or level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decision to reduce, suspend, or terminate previously authorized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denial, in whole or in part, of payment for a service that was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failure of the department to act within the required time frames.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Appeal requests submitted by regular mail are considered filed on the date postmarked on the envelope sent to the department or, when a postmarked envelope is not available, on the date the appeal is stamped received by the department. Appeal requests sent electronically are considered filed on the date on which the electronic submission was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 computing any time period specified in this rule,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Excludes the day of the event that triggers the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Includes every day of the time period (including Saturdays, Sundays, and holidays on which the department is closed);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Includes the last day of the period, but if the last day is a Saturday, Sunday, or legal holiday, the period continues until the end of the next day that is not a Saturday, Sunday, or legal holiday.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301.4(3)</w:t>
      </w:r>
      <w:r>
        <w:rPr>
          <w:rFonts w:ascii="Times New Roman" w:hAnsi="Times New Roman"/>
          <w:b w:val="false"/>
          <w:i w:val="false"/>
          <w:color w:val="000000"/>
          <w:sz w:val="22"/>
        </w:rPr>
        <w:t> </w:t>
      </w:r>
      <w:r>
        <w:rPr>
          <w:rFonts w:ascii="Times New Roman" w:hAnsi="Times New Roman"/>
          <w:b w:val="false"/>
          <w:i/>
          <w:color w:val="000000"/>
          <w:sz w:val="22"/>
        </w:rPr>
        <w:t xml:space="preserve">Request. </w:t>
      </w:r>
      <w:r>
        <w:rPr>
          <w:rFonts w:ascii="Times New Roman" w:hAnsi="Times New Roman"/>
          <w:b w:val="false"/>
          <w:i w:val="false"/>
          <w:color w:val="000000"/>
          <w:sz w:val="22"/>
        </w:rPr>
        <w:t>The person may request an appeal using a form prescribed by the department and in a manner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301.4(4)</w:t>
      </w:r>
      <w:r>
        <w:rPr>
          <w:rFonts w:ascii="Times New Roman" w:hAnsi="Times New Roman"/>
          <w:b w:val="false"/>
          <w:i w:val="false"/>
          <w:color w:val="000000"/>
          <w:sz w:val="22"/>
        </w:rPr>
        <w:t> </w:t>
      </w:r>
      <w:r>
        <w:rPr>
          <w:rFonts w:ascii="Times New Roman" w:hAnsi="Times New Roman"/>
          <w:b w:val="false"/>
          <w:i/>
          <w:color w:val="000000"/>
          <w:sz w:val="22"/>
        </w:rPr>
        <w:t xml:space="preserve">Acknowledgment of appeal. </w:t>
      </w:r>
      <w:r>
        <w:rPr>
          <w:rFonts w:ascii="Times New Roman" w:hAnsi="Times New Roman"/>
          <w:b w:val="false"/>
          <w:i w:val="false"/>
          <w:color w:val="000000"/>
          <w:sz w:val="22"/>
        </w:rPr>
        <w:t>The department will send an acknowledgment of receipt of the appeal to the parties-in-interest to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301.4(5)</w:t>
      </w:r>
      <w:r>
        <w:rPr>
          <w:rFonts w:ascii="Times New Roman" w:hAnsi="Times New Roman"/>
          <w:b w:val="false"/>
          <w:i w:val="false"/>
          <w:color w:val="000000"/>
          <w:sz w:val="22"/>
        </w:rPr>
        <w:t> </w:t>
      </w:r>
      <w:r>
        <w:rPr>
          <w:rFonts w:ascii="Times New Roman" w:hAnsi="Times New Roman"/>
          <w:b w:val="false"/>
          <w:i/>
          <w:color w:val="000000"/>
          <w:sz w:val="22"/>
        </w:rPr>
        <w:t xml:space="preserve">Acceptance or denial of appeal. </w:t>
      </w:r>
      <w:r>
        <w:rPr>
          <w:rFonts w:ascii="Times New Roman" w:hAnsi="Times New Roman"/>
          <w:b w:val="false"/>
          <w:i w:val="false"/>
          <w:color w:val="000000"/>
          <w:sz w:val="22"/>
        </w:rPr>
        <w:t>The department will determine with reasonable promptness whether the person is entitled to an appeal. If a request for an appeal is denied, the department will provide written notice of and the reasons for the denial. On or before the thirtieth calendar day following the denial of appeal, the party requesting the appeal may provide additional information related to the appeal and request reconsideration of the denial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301.4(6)</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If an appeal request is granted, the appellant may submit a written statement, supported by relevant documentation, to establish all pertinent facts and circumstances. Documents shall be submitted to the department within 14 calendar days of the date the appeal is acknowledged. The department’s reviewer may request additional documents or information from the appellant as needed to assist the department’s evaluation of the appeal.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301.4(7)</w:t>
      </w:r>
      <w:r>
        <w:rPr>
          <w:rFonts w:ascii="Times New Roman" w:hAnsi="Times New Roman"/>
          <w:b w:val="false"/>
          <w:i w:val="false"/>
          <w:color w:val="000000"/>
          <w:sz w:val="22"/>
        </w:rPr>
        <w:t> </w:t>
      </w:r>
      <w:r>
        <w:rPr>
          <w:rFonts w:ascii="Times New Roman" w:hAnsi="Times New Roman"/>
          <w:b w:val="false"/>
          <w:i/>
          <w:color w:val="000000"/>
          <w:sz w:val="22"/>
        </w:rPr>
        <w:t xml:space="preserve">Ex parte communication. </w:t>
      </w:r>
      <w:r>
        <w:rPr>
          <w:rFonts w:ascii="Times New Roman" w:hAnsi="Times New Roman"/>
          <w:b w:val="false"/>
          <w:i w:val="false"/>
          <w:color w:val="000000"/>
          <w:sz w:val="22"/>
        </w:rPr>
        <w:t xml:space="preserve">The department’s reviewer, the director, and all parties to the appeal are bound by the rules against ex parte communication set forth in Iowa Code section </w:t>
      </w:r>
      <w:hyperlink r:id="rId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and rule </w:t>
      </w:r>
      <w:hyperlink r:id="rId6">
        <w:r>
          <w:rPr>
            <w:rStyle w:val="Hyperlink"/>
            <w:rFonts w:ascii="Times New Roman" w:hAnsi="Times New Roman"/>
            <w:b w:val="false"/>
            <w:i w:val="false"/>
            <w:color w:val="000000"/>
            <w:sz w:val="22"/>
          </w:rPr>
          <w:t>441—7.9</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301.4(8)</w:t>
      </w:r>
      <w:r>
        <w:rPr>
          <w:rFonts w:ascii="Times New Roman" w:hAnsi="Times New Roman"/>
          <w:b w:val="false"/>
          <w:i w:val="false"/>
          <w:color w:val="000000"/>
          <w:sz w:val="22"/>
        </w:rPr>
        <w:t> </w:t>
      </w:r>
      <w:r>
        <w:rPr>
          <w:rFonts w:ascii="Times New Roman" w:hAnsi="Times New Roman"/>
          <w:b w:val="false"/>
          <w:i/>
          <w:color w:val="000000"/>
          <w:sz w:val="22"/>
        </w:rPr>
        <w:t xml:space="preserve">Withdrawal. </w:t>
      </w:r>
      <w:r>
        <w:rPr>
          <w:rFonts w:ascii="Times New Roman" w:hAnsi="Times New Roman"/>
          <w:b w:val="false"/>
          <w:i w:val="false"/>
          <w:color w:val="000000"/>
          <w:sz w:val="22"/>
        </w:rPr>
        <w:t>An appellant may withdraw a request for appeal at any time. Requests to withdraw an appeal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301.4(9)</w:t>
      </w:r>
      <w:r>
        <w:rPr>
          <w:rFonts w:ascii="Times New Roman" w:hAnsi="Times New Roman"/>
          <w:b w:val="false"/>
          <w:i w:val="false"/>
          <w:color w:val="000000"/>
          <w:sz w:val="22"/>
        </w:rPr>
        <w:t> </w:t>
      </w:r>
      <w:r>
        <w:rPr>
          <w:rFonts w:ascii="Times New Roman" w:hAnsi="Times New Roman"/>
          <w:b w:val="false"/>
          <w:i/>
          <w:color w:val="000000"/>
          <w:sz w:val="22"/>
        </w:rPr>
        <w:t xml:space="preserve">Department review. </w:t>
      </w:r>
      <w:r>
        <w:rPr>
          <w:rFonts w:ascii="Times New Roman" w:hAnsi="Times New Roman"/>
          <w:b w:val="false"/>
          <w:i w:val="false"/>
          <w:color w:val="000000"/>
          <w:sz w:val="22"/>
        </w:rPr>
        <w:t>The department’s reviewer will review the appeal record and issue a written proposed decision to all parties within 30 calendar days. The written proposed decision will include the reviewer’s findings of fact and rationale for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301.4(10)</w:t>
      </w:r>
      <w:r>
        <w:rPr>
          <w:rFonts w:ascii="Times New Roman" w:hAnsi="Times New Roman"/>
          <w:b w:val="false"/>
          <w:i w:val="false"/>
          <w:color w:val="000000"/>
          <w:sz w:val="22"/>
        </w:rPr>
        <w:t> </w:t>
      </w:r>
      <w:r>
        <w:rPr>
          <w:rFonts w:ascii="Times New Roman" w:hAnsi="Times New Roman"/>
          <w:b w:val="false"/>
          <w:i/>
          <w:color w:val="000000"/>
          <w:sz w:val="22"/>
        </w:rPr>
        <w:t xml:space="preserve">Director’s review.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Parties may appeal the proposed decision to the director.  A request for director’s review shall be in writing and postmarked or received within 14 calendar days of the date on which the proposed decision was issued. A request for director’s review may be accompanied by a brief written summary of the arguments in favor of granting a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Granting or denial of review. </w:t>
      </w:r>
      <w:r>
        <w:rPr>
          <w:rFonts w:ascii="Times New Roman" w:hAnsi="Times New Roman"/>
          <w:b w:val="false"/>
          <w:i w:val="false"/>
          <w:color w:val="000000"/>
          <w:sz w:val="22"/>
        </w:rPr>
        <w:t>The department has full discretion to grant or deny a request for director’s review. In addition, the director may initiate review of a proposed decision on the director’s own motion at any time on or before the thirtieth calendar day following the issuance of the proposed decision. When the department grants a request for director’s review, the parties will be notified of the decision, and a copy of the request will be included with the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Limited record. </w:t>
      </w:r>
      <w:r>
        <w:rPr>
          <w:rFonts w:ascii="Times New Roman" w:hAnsi="Times New Roman"/>
          <w:b w:val="false"/>
          <w:i w:val="false"/>
          <w:color w:val="000000"/>
          <w:sz w:val="22"/>
        </w:rPr>
        <w:t>A director’s review will be limited to the issues and information contained in the record reviewed by the reviewer who issued the proposed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Oral arguments. </w:t>
      </w:r>
      <w:r>
        <w:rPr>
          <w:rFonts w:ascii="Times New Roman" w:hAnsi="Times New Roman"/>
          <w:b w:val="false"/>
          <w:i w:val="false"/>
          <w:color w:val="000000"/>
          <w:sz w:val="22"/>
        </w:rPr>
        <w:t>Upon specific request, the director may, at the director’s discretion, permit parties to present oral arguments with the parties’ requests for director’s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Decision issued. </w:t>
      </w:r>
      <w:r>
        <w:rPr>
          <w:rFonts w:ascii="Times New Roman" w:hAnsi="Times New Roman"/>
          <w:b w:val="false"/>
          <w:i w:val="false"/>
          <w:color w:val="000000"/>
          <w:sz w:val="22"/>
        </w:rPr>
        <w:t>The director will issue a final decision within the timelines prescribed by federal or state law. For all appeals for which there is no federal or state timeliness standard, the director will issue a final decision on or before the ninetieth day from the date the director grants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301.4(11)</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 appeal or denial of director review. </w:t>
      </w:r>
      <w:r>
        <w:rPr>
          <w:rFonts w:ascii="Times New Roman" w:hAnsi="Times New Roman"/>
          <w:b w:val="false"/>
          <w:i w:val="false"/>
          <w:color w:val="000000"/>
          <w:sz w:val="22"/>
        </w:rPr>
        <w:t xml:space="preserve">If there is no timely appeal from or review of the proposed decision, the proposed decision will be considered the final agency action and is subject to judicial review in accordance with Iowa Code section </w:t>
      </w:r>
      <w:hyperlink r:id="rId7">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Director decision issued. </w:t>
      </w:r>
      <w:r>
        <w:rPr>
          <w:rFonts w:ascii="Times New Roman" w:hAnsi="Times New Roman"/>
          <w:b w:val="false"/>
          <w:i w:val="false"/>
          <w:color w:val="000000"/>
          <w:sz w:val="22"/>
        </w:rPr>
        <w:t xml:space="preserve">Any decision issued by the director after granting a director’s review will be considered the final agency action and is subject to judicial review in accordance with Iowa Code section </w:t>
      </w:r>
      <w:hyperlink r:id="rId8">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Written notice of final decision. </w:t>
      </w:r>
      <w:r>
        <w:rPr>
          <w:rFonts w:ascii="Times New Roman" w:hAnsi="Times New Roman"/>
          <w:b w:val="false"/>
          <w:i w:val="false"/>
          <w:color w:val="000000"/>
          <w:sz w:val="22"/>
        </w:rPr>
        <w:t>The parties-in-interest will be provided written notice of the department’s final decision. The department will also notify the appellant of the right to seek judicial review, where applicable.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301.4(12)</w:t>
      </w:r>
      <w:r>
        <w:rPr>
          <w:rFonts w:ascii="Times New Roman" w:hAnsi="Times New Roman"/>
          <w:b w:val="false"/>
          <w:i w:val="false"/>
          <w:color w:val="000000"/>
          <w:sz w:val="22"/>
        </w:rPr>
        <w:t> </w:t>
      </w:r>
      <w:r>
        <w:rPr>
          <w:rFonts w:ascii="Times New Roman" w:hAnsi="Times New Roman"/>
          <w:b w:val="false"/>
          <w:i/>
          <w:color w:val="000000"/>
          <w:sz w:val="22"/>
        </w:rPr>
        <w:t xml:space="preserve">Interpreters. </w:t>
      </w:r>
      <w:r>
        <w:rPr>
          <w:rFonts w:ascii="Times New Roman" w:hAnsi="Times New Roman"/>
          <w:b w:val="false"/>
          <w:i w:val="false"/>
          <w:color w:val="000000"/>
          <w:sz w:val="22"/>
        </w:rPr>
        <w:t>The department will provide translation and interpretation services to parties-in-interest, if requested. When a party-in-interest is illiterate or semiliterate, the reviewer will advise the party-in-interest of the party-in-interest’s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301.4(13)</w:t>
      </w:r>
      <w:r>
        <w:rPr>
          <w:rFonts w:ascii="Times New Roman" w:hAnsi="Times New Roman"/>
          <w:b w:val="false"/>
          <w:i w:val="false"/>
          <w:color w:val="000000"/>
          <w:sz w:val="22"/>
        </w:rPr>
        <w:t> </w:t>
      </w:r>
      <w:r>
        <w:rPr>
          <w:rFonts w:ascii="Times New Roman" w:hAnsi="Times New Roman"/>
          <w:b w:val="false"/>
          <w:i/>
          <w:color w:val="000000"/>
          <w:sz w:val="22"/>
        </w:rPr>
        <w:t xml:space="preserve">Persons living with disabilities. </w:t>
      </w:r>
      <w:r>
        <w:rPr>
          <w:rFonts w:ascii="Times New Roman" w:hAnsi="Times New Roman"/>
          <w:b w:val="false"/>
          <w:i w:val="false"/>
          <w:color w:val="000000"/>
          <w:sz w:val="22"/>
        </w:rPr>
        <w:t>Persons living with disabilities will be provided assistance through the use of auxiliary aids and services at no cost to the individual in accordance with the Americans with Disabilities Act (as amended, effective December 31, 2023) and Section 504 of the Rehabilitation Act (as amended, effective October 1, 2016).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301.4(14)</w:t>
      </w:r>
      <w:r>
        <w:rPr>
          <w:rFonts w:ascii="Times New Roman" w:hAnsi="Times New Roman"/>
          <w:b w:val="false"/>
          <w:i w:val="false"/>
          <w:color w:val="000000"/>
          <w:sz w:val="22"/>
        </w:rPr>
        <w:t> </w:t>
      </w:r>
      <w:r>
        <w:rPr>
          <w:rFonts w:ascii="Times New Roman" w:hAnsi="Times New Roman"/>
          <w:b w:val="false"/>
          <w:i/>
          <w:color w:val="000000"/>
          <w:sz w:val="22"/>
        </w:rPr>
        <w:t xml:space="preserve">Authorized representatives.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Regulations. </w:t>
      </w:r>
      <w:r>
        <w:rPr>
          <w:rFonts w:ascii="Times New Roman" w:hAnsi="Times New Roman"/>
          <w:b w:val="false"/>
          <w:i w:val="false"/>
          <w:color w:val="000000"/>
          <w:sz w:val="22"/>
        </w:rPr>
        <w:t>The provisions of this subrule only apply to the extent the standards expressed in this rule are not in conflict with other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Designation of authority. </w:t>
      </w:r>
      <w:r>
        <w:rPr>
          <w:rFonts w:ascii="Times New Roman" w:hAnsi="Times New Roman"/>
          <w:b w:val="false"/>
          <w:i w:val="false"/>
          <w:color w:val="000000"/>
          <w:sz w:val="22"/>
        </w:rPr>
        <w:t>Legally recognized delegations of authority, such as guardianships, applicable designations of power of attorney, or similar designations, will be sufficient for a delegate to serve as authorized representative under this rule. A person that is not designated as a legally recognized delegation of authority but who otherwise seeks to act as an authorized representative for an individual in an appeal under this rule shall provide a written, signed designation of authority to the department with the request for appeal. The designation must provide the scope of the representation, applicable waivers for the release of confidential information, and any temporal or other limitations on the scope of representation. An authorized representative of a party-in-interest only represents the party-in-interest and has no independent right to appeal by virtue of the authorized representative’s representation.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Appearance by attorney. </w:t>
      </w:r>
      <w:r>
        <w:rPr>
          <w:rFonts w:ascii="Times New Roman" w:hAnsi="Times New Roman"/>
          <w:b w:val="false"/>
          <w:i w:val="false"/>
          <w:color w:val="000000"/>
          <w:sz w:val="22"/>
        </w:rPr>
        <w:t>Legal counsel appearing on behalf of any person in a proceeding under this rule shall enter an appropriate written appearance.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301.4(15)</w:t>
      </w:r>
      <w:r>
        <w:rPr>
          <w:rFonts w:ascii="Times New Roman" w:hAnsi="Times New Roman"/>
          <w:b w:val="false"/>
          <w:i w:val="false"/>
          <w:color w:val="000000"/>
          <w:sz w:val="22"/>
        </w:rPr>
        <w:t> </w:t>
      </w:r>
      <w:r>
        <w:rPr>
          <w:rFonts w:ascii="Times New Roman" w:hAnsi="Times New Roman"/>
          <w:b w:val="false"/>
          <w:i/>
          <w:color w:val="000000"/>
          <w:sz w:val="22"/>
        </w:rPr>
        <w:t xml:space="preserve">Not contested cases. </w:t>
      </w:r>
      <w:r>
        <w:rPr>
          <w:rFonts w:ascii="Times New Roman" w:hAnsi="Times New Roman"/>
          <w:b w:val="false"/>
          <w:i w:val="false"/>
          <w:color w:val="000000"/>
          <w:sz w:val="22"/>
        </w:rPr>
        <w:t xml:space="preserve">Appeals brought under this chapter are not contested cases, appellants will not be granted a contested case hearing, and the provisions in </w:t>
      </w:r>
      <w:hyperlink r:id="rId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do not apply.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9274C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301.4.pdf" Type="http://schemas.openxmlformats.org/officeDocument/2006/relationships/hyperlink" Id="rId4"/>
    <Relationship TargetMode="External" Target="https://www.legis.iowa.gov/docs/ico/chapter/17A.17.pdf" Type="http://schemas.openxmlformats.org/officeDocument/2006/relationships/hyperlink" Id="rId5"/>
    <Relationship TargetMode="External" Target="https://www.legis.iowa.gov/docs/iac/rule/441.7.9.pdf" Type="http://schemas.openxmlformats.org/officeDocument/2006/relationships/hyperlink" Id="rId6"/>
    <Relationship TargetMode="External" Target="https://www.legis.iowa.gov/docs/ico/chapter/17A.19.pdf" Type="http://schemas.openxmlformats.org/officeDocument/2006/relationships/hyperlink" Id="rId7"/>
    <Relationship TargetMode="External" Target="https://www.legis.iowa.gov/docs/ico/chapter/17A.19.pdf" Type="http://schemas.openxmlformats.org/officeDocument/2006/relationships/hyperlink" Id="rId8"/>
    <Relationship TargetMode="External" Target="https://www.legis.iowa.gov/docs/iac/chapter/441.2506.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