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441—231.10</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Notwithstanding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following provisions shall apply to records obtained by public guardians in the course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rule or law, records and information of the state office of public guardian are governed by </w:t>
      </w:r>
      <w:hyperlink r:id="rId5">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231.10(2)</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obtained as part of an application for public guardianship services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more than one application for public guardianship services is submitted on behalf of the same individual, the state office may disclose the following information to the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any other application submitted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other applicant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status of the other application or applications, including copies of any notices sent to the other applicant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disclose the existence of an application and information contained in an application to family members, service providers, case managers, or others named in an application for public guardianship services in order to gather supplemental information necessary to determine eligibility for public guardianship services or to attempt to locate an individual for whom an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office may release records and information obtained as part of an application for public guardianship services to a local office of public guardian in anticipation of the local office providing public guardianship services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231.10(3)</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about a protected person or client obtained or maintained for use by the state office or a local office of public guardian are confidential. Once appointed as an individual’s guardian, conservator, or representative payee, the state office or a local office may, at the state office’s or a local office’s sole discretion, exercise the authority granted by the court or federal agency to obtain, disclose, or consent to the release of confidential records or information about the protected person or client if doing so is necessary and in the best interest of the protected person or client. The state office or a local office will obtain the written consent of the protected person or client or the person’s or client’s legal representative prior to obtaining or disclosing confidential records or information outside the scope of the state office’s or a local office’s authority. Disclosure of a record or information under this rule does not affect the confidential nature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231.10(4)</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may be redacted so that personally identifiable information is kept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231.10(5)</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enter into contracts or agreements with public or private entities in order to carry out the state office’s or a local office’s official duties. Information necessary to carry out these duties may be shared with these entities.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ac/chapter/441.250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