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441—227.13</w:t>
      </w:r>
      <w:r>
        <w:rPr>
          <w:rFonts w:ascii="Times New Roman" w:hAnsi="Times New Roman"/>
          <w:b/>
          <w:i w:val="false"/>
          <w:color w:val="000000"/>
          <w:sz w:val="22"/>
        </w:rPr>
        <w:t xml:space="preserve">(231) </w:t>
      </w:r>
      <w:r>
        <w:rPr>
          <w:rFonts w:ascii="Times New Roman" w:hAnsi="Times New Roman"/>
          <w:b/>
          <w:i w:val="false"/>
          <w:color w:val="000000"/>
          <w:sz w:val="22"/>
        </w:rPr>
        <w:t xml:space="preserve">Data collection, sharing, and 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227.13(1)</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w:t>
      </w:r>
      <w:r>
        <w:rPr>
          <w:rFonts w:ascii="Times New Roman" w:hAnsi="Times New Roman"/>
          <w:b w:val="false"/>
          <w:i w:val="false"/>
          <w:color w:val="000000"/>
          <w:sz w:val="22"/>
        </w:rPr>
        <w:t>All data collected as a result of an organization’s designation as an area agency on aging is owned and governed by the department’s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227.13(2)</w:t>
      </w:r>
      <w:r>
        <w:rPr>
          <w:rFonts w:ascii="Times New Roman" w:hAnsi="Times New Roman"/>
          <w:b w:val="false"/>
          <w:i w:val="false"/>
          <w:color w:val="000000"/>
          <w:sz w:val="22"/>
        </w:rPr>
        <w:t> </w:t>
      </w:r>
      <w:r>
        <w:rPr>
          <w:rFonts w:ascii="Times New Roman" w:hAnsi="Times New Roman"/>
          <w:b w:val="false"/>
          <w:i/>
          <w:color w:val="000000"/>
          <w:sz w:val="22"/>
        </w:rPr>
        <w:t xml:space="preserve">Data protection. </w:t>
      </w:r>
      <w:r>
        <w:rPr>
          <w:rFonts w:ascii="Times New Roman" w:hAnsi="Times New Roman"/>
          <w:b w:val="false"/>
          <w:i w:val="false"/>
          <w:color w:val="000000"/>
          <w:sz w:val="22"/>
        </w:rPr>
        <w:t>Each area agency on aging will use appropriate administrative, technical and physical safeguards to protect the confidentiality, integrity and availability of data collected. Each area agency on aging will ensure that staff take appropriate confidentiality trainings and will provide documentation of completed trainings when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227.13(3)</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 xml:space="preserve">Each area agency on aging will implement procedures to ensure confidentiality in compliance with 45 CFR 1321 as amended to October 1, 2025, and </w:t>
      </w:r>
      <w:hyperlink r:id="rId4">
        <w:r>
          <w:rPr>
            <w:rStyle w:val="Hyperlink"/>
            <w:rFonts w:ascii="Times New Roman" w:hAnsi="Times New Roman"/>
            <w:b w:val="false"/>
            <w:i w:val="false"/>
            <w:color w:val="000000"/>
            <w:sz w:val="22"/>
          </w:rPr>
          <w:t>441—Chapter 2505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250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