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441—226.11</w:t>
      </w:r>
      <w:r>
        <w:rPr>
          <w:rFonts w:ascii="Times New Roman" w:hAnsi="Times New Roman"/>
          <w:b/>
          <w:i w:val="false"/>
          <w:color w:val="000000"/>
          <w:sz w:val="22"/>
        </w:rPr>
        <w:t xml:space="preserve">(231) </w:t>
      </w:r>
      <w:r>
        <w:rPr>
          <w:rFonts w:ascii="Times New Roman" w:hAnsi="Times New Roman"/>
          <w:b/>
          <w:i w:val="false"/>
          <w:color w:val="000000"/>
          <w:sz w:val="22"/>
        </w:rPr>
        <w:t xml:space="preserve">Evaluation and compliance. </w:t>
      </w:r>
      <w:r>
        <w:rPr>
          <w:rFonts w:ascii="Times New Roman" w:hAnsi="Times New Roman"/>
          <w:b w:val="false"/>
          <w:i w:val="false"/>
          <w:color w:val="000000"/>
          <w:sz w:val="22"/>
        </w:rPr>
        <w:t>The department will monitor area agencies on aging to ensure quality performance and compliance as set forth in 45 CFR 1321 as amended to October 1, 2025.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226.11(1)</w:t>
      </w:r>
      <w:r>
        <w:rPr>
          <w:rFonts w:ascii="Times New Roman" w:hAnsi="Times New Roman"/>
          <w:b w:val="false"/>
          <w:i w:val="false"/>
          <w:color w:val="000000"/>
          <w:sz w:val="22"/>
        </w:rPr>
        <w:t> </w:t>
      </w:r>
      <w:r>
        <w:rPr>
          <w:rFonts w:ascii="Times New Roman" w:hAnsi="Times New Roman"/>
          <w:b w:val="false"/>
          <w:i/>
          <w:color w:val="000000"/>
          <w:sz w:val="22"/>
        </w:rPr>
        <w:t xml:space="preserve">Correction of deficiencies.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Remedies. </w:t>
      </w:r>
      <w:r>
        <w:rPr>
          <w:rFonts w:ascii="Times New Roman" w:hAnsi="Times New Roman"/>
          <w:b w:val="false"/>
          <w:i w:val="false"/>
          <w:color w:val="000000"/>
          <w:sz w:val="22"/>
        </w:rPr>
        <w:t>The purpose of remedies is to ensure prompt action is taken by an area agency on aging to correct deficiencies arising from failure to perform as identified by this rule. The department will determine the remedies to be applied to the area agency on aging for failure to perform.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Number of remedies. </w:t>
      </w:r>
      <w:r>
        <w:rPr>
          <w:rFonts w:ascii="Times New Roman" w:hAnsi="Times New Roman"/>
          <w:b w:val="false"/>
          <w:i w:val="false"/>
          <w:color w:val="000000"/>
          <w:sz w:val="22"/>
        </w:rPr>
        <w:t>The department may apply one or more remedies for each deficiency constituting failure to perform or for all deficiencies constituting failure to perform.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Notification requirements. </w:t>
      </w:r>
      <w:r>
        <w:rPr>
          <w:rFonts w:ascii="Times New Roman" w:hAnsi="Times New Roman"/>
          <w:b w:val="false"/>
          <w:i w:val="false"/>
          <w:color w:val="000000"/>
          <w:sz w:val="22"/>
        </w:rPr>
        <w:t xml:space="preserve">The department will give the area agency on aging written notice of the remedy in accordance with </w:t>
      </w:r>
      <w:hyperlink r:id="rId4">
        <w:r>
          <w:rPr>
            <w:rStyle w:val="Hyperlink"/>
            <w:rFonts w:ascii="Times New Roman" w:hAnsi="Times New Roman"/>
            <w:b w:val="false"/>
            <w:i w:val="false"/>
            <w:color w:val="000000"/>
            <w:sz w:val="22"/>
          </w:rPr>
          <w:t>441—Chapter 16</w:t>
        </w:r>
      </w:hyperlink>
      <w:r>
        <w:rPr>
          <w:rFonts w:ascii="Times New Roman" w:hAnsi="Times New Roman"/>
          <w:b w:val="false"/>
          <w:i w:val="false"/>
          <w:color w:val="000000"/>
          <w:sz w:val="22"/>
        </w:rPr>
        <w:t>. The written notice of remedy will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nature of the failure to perform.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remedy imposed.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effective date of the remedy.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right to appeal the determination leading to the remedy.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Factors to be considered in selecting remedies. </w:t>
      </w:r>
      <w:r>
        <w:rPr>
          <w:rFonts w:ascii="Times New Roman" w:hAnsi="Times New Roman"/>
          <w:b w:val="false"/>
          <w:i w:val="false"/>
          <w:color w:val="000000"/>
          <w:sz w:val="22"/>
        </w:rPr>
        <w:t>In order to select the appropriate remedy, the department will determine the seriousness of the failure to perform by considering whether the area agency on aging’s failure to perform: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isolated.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Constitutes a pattern.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Is broad in scope.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Creates a financial burden for the department, other area agencies on aging, or the aging network.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Creates an administrative burden for the department, other area agencies on aging, or the aging network.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226.11(2)</w:t>
      </w:r>
      <w:r>
        <w:rPr>
          <w:rFonts w:ascii="Times New Roman" w:hAnsi="Times New Roman"/>
          <w:b w:val="false"/>
          <w:i w:val="false"/>
          <w:color w:val="000000"/>
          <w:sz w:val="22"/>
        </w:rPr>
        <w:t> </w:t>
      </w:r>
      <w:r>
        <w:rPr>
          <w:rFonts w:ascii="Times New Roman" w:hAnsi="Times New Roman"/>
          <w:b w:val="false"/>
          <w:i/>
          <w:color w:val="000000"/>
          <w:sz w:val="22"/>
        </w:rPr>
        <w:t xml:space="preserve">Available remedies. </w:t>
      </w:r>
      <w:r>
        <w:rPr>
          <w:rFonts w:ascii="Times New Roman" w:hAnsi="Times New Roman"/>
          <w:b w:val="false"/>
          <w:i w:val="false"/>
          <w:color w:val="000000"/>
          <w:sz w:val="22"/>
        </w:rPr>
        <w:t>The department may select one or more of the following remedies with reference to a cited failure to perform. In selecting an appropriate remedy, the department may also consider the area agency on aging’s prior history of failure to perform in general and specifically with reference to the cited failure to perform.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Directed in-service training. </w:t>
      </w:r>
      <w:r>
        <w:rPr>
          <w:rFonts w:ascii="Times New Roman" w:hAnsi="Times New Roman"/>
          <w:b w:val="false"/>
          <w:i w:val="false"/>
          <w:color w:val="000000"/>
          <w:sz w:val="22"/>
        </w:rPr>
        <w:t>The department may require the staff of an area agency on aging to attend an in-service training program. The area agency on aging is responsible for the payment for the directed in-service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Department monitoring. </w:t>
      </w:r>
      <w:r>
        <w:rPr>
          <w:rFonts w:ascii="Times New Roman" w:hAnsi="Times New Roman"/>
          <w:b w:val="false"/>
          <w:i w:val="false"/>
          <w:color w:val="000000"/>
          <w:sz w:val="22"/>
        </w:rPr>
        <w:t>The department may require an area agency on aging to receive increased monitoring by the department. The frequency and duration of the monitoring is within the discretion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Directed plan of correction. </w:t>
      </w:r>
      <w:r>
        <w:rPr>
          <w:rFonts w:ascii="Times New Roman" w:hAnsi="Times New Roman"/>
          <w:b w:val="false"/>
          <w:i w:val="false"/>
          <w:color w:val="000000"/>
          <w:sz w:val="22"/>
        </w:rPr>
        <w:t>The department may develop a plan of correction and require an area agency on aging to take action within specified time frames.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Mandatory plan of correction. </w:t>
      </w:r>
      <w:r>
        <w:rPr>
          <w:rFonts w:ascii="Times New Roman" w:hAnsi="Times New Roman"/>
          <w:b w:val="false"/>
          <w:i w:val="false"/>
          <w:color w:val="000000"/>
          <w:sz w:val="22"/>
        </w:rPr>
        <w:t xml:space="preserve">The department may require an area agency on aging to develop a mandatory plan of correction for approval by the department within specified time frames pursuant to subrule </w:t>
      </w:r>
      <w:hyperlink r:id="rId5">
        <w:r>
          <w:rPr>
            <w:rStyle w:val="Hyperlink"/>
            <w:rFonts w:ascii="Times New Roman" w:hAnsi="Times New Roman"/>
            <w:b w:val="false"/>
            <w:i w:val="false"/>
            <w:color w:val="000000"/>
            <w:sz w:val="22"/>
          </w:rPr>
          <w:t>226.11(2)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Reduction of funding. </w:t>
      </w:r>
      <w:r>
        <w:rPr>
          <w:rFonts w:ascii="Times New Roman" w:hAnsi="Times New Roman"/>
          <w:b w:val="false"/>
          <w:i w:val="false"/>
          <w:color w:val="000000"/>
          <w:sz w:val="22"/>
        </w:rPr>
        <w:t>The department may reduce the amount of funding distributed.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Investigative audit. </w:t>
      </w:r>
      <w:r>
        <w:rPr>
          <w:rFonts w:ascii="Times New Roman" w:hAnsi="Times New Roman"/>
          <w:b w:val="false"/>
          <w:i w:val="false"/>
          <w:color w:val="000000"/>
          <w:sz w:val="22"/>
        </w:rPr>
        <w:t>The department may require an area agency on aging to receive an investigative audit. The area agency on aging is responsible for the payment for this investigative audit.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Conditional approval. </w:t>
      </w:r>
      <w:r>
        <w:rPr>
          <w:rFonts w:ascii="Times New Roman" w:hAnsi="Times New Roman"/>
          <w:b w:val="false"/>
          <w:i w:val="false"/>
          <w:color w:val="000000"/>
          <w:sz w:val="22"/>
        </w:rPr>
        <w:t xml:space="preserve">The department may conditionally approve area plans and amendments with required corrections to be made by the area agency on aging within no more than 90 days. If the plan is not approved, the department may withdraw designation as specified in rule </w:t>
      </w:r>
      <w:hyperlink r:id="rId6">
        <w:r>
          <w:rPr>
            <w:rStyle w:val="Hyperlink"/>
            <w:rFonts w:ascii="Times New Roman" w:hAnsi="Times New Roman"/>
            <w:b w:val="false"/>
            <w:i w:val="false"/>
            <w:color w:val="000000"/>
            <w:sz w:val="22"/>
          </w:rPr>
          <w:t>441—226.7</w:t>
        </w:r>
      </w:hyperlink>
      <w:r>
        <w:rPr>
          <w:rFonts w:ascii="Times New Roman" w:hAnsi="Times New Roman"/>
          <w:b w:val="false"/>
          <w:i w:val="false"/>
          <w:color w:val="000000"/>
          <w:sz w:val="22"/>
        </w:rPr>
        <w:t>(231).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Other remedies. </w:t>
      </w:r>
      <w:r>
        <w:rPr>
          <w:rFonts w:ascii="Times New Roman" w:hAnsi="Times New Roman"/>
          <w:b w:val="false"/>
          <w:i w:val="false"/>
          <w:color w:val="000000"/>
          <w:sz w:val="22"/>
        </w:rPr>
        <w:t>The department may also impose other remedies, as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Withdrawal of designation. </w:t>
      </w:r>
      <w:r>
        <w:rPr>
          <w:rFonts w:ascii="Times New Roman" w:hAnsi="Times New Roman"/>
          <w:b w:val="false"/>
          <w:i w:val="false"/>
          <w:color w:val="000000"/>
          <w:sz w:val="22"/>
        </w:rPr>
        <w:t xml:space="preserve">The department may withdraw a designation of an area agency on aging pursuant to rule </w:t>
      </w:r>
      <w:hyperlink r:id="rId7">
        <w:r>
          <w:rPr>
            <w:rStyle w:val="Hyperlink"/>
            <w:rFonts w:ascii="Times New Roman" w:hAnsi="Times New Roman"/>
            <w:b w:val="false"/>
            <w:i w:val="false"/>
            <w:color w:val="000000"/>
            <w:sz w:val="22"/>
          </w:rPr>
          <w:t>441—226.7</w:t>
        </w:r>
      </w:hyperlink>
      <w:r>
        <w:rPr>
          <w:rFonts w:ascii="Times New Roman" w:hAnsi="Times New Roman"/>
          <w:b w:val="false"/>
          <w:i w:val="false"/>
          <w:color w:val="000000"/>
          <w:sz w:val="22"/>
        </w:rPr>
        <w:t>(231).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226.11(3)</w:t>
      </w:r>
      <w:r>
        <w:rPr>
          <w:rFonts w:ascii="Times New Roman" w:hAnsi="Times New Roman"/>
          <w:b w:val="false"/>
          <w:i w:val="false"/>
          <w:color w:val="000000"/>
          <w:sz w:val="22"/>
        </w:rPr>
        <w:t> </w:t>
      </w:r>
      <w:r>
        <w:rPr>
          <w:rFonts w:ascii="Times New Roman" w:hAnsi="Times New Roman"/>
          <w:b w:val="false"/>
          <w:i/>
          <w:color w:val="000000"/>
          <w:sz w:val="22"/>
        </w:rPr>
        <w:t xml:space="preserve">Duration of remedies. </w:t>
      </w:r>
      <w:r>
        <w:rPr>
          <w:rFonts w:ascii="Times New Roman" w:hAnsi="Times New Roman"/>
          <w:b w:val="false"/>
          <w:i w:val="false"/>
          <w:color w:val="000000"/>
          <w:sz w:val="22"/>
        </w:rPr>
        <w:t>Remedies will continue until the area agency on aging has achieved substantial compliance as determined by the department or the designation as an area agency on aging is withdrawn.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226.11(4)</w:t>
      </w:r>
      <w:r>
        <w:rPr>
          <w:rFonts w:ascii="Times New Roman" w:hAnsi="Times New Roman"/>
          <w:b w:val="false"/>
          <w:i w:val="false"/>
          <w:color w:val="000000"/>
          <w:sz w:val="22"/>
        </w:rPr>
        <w:t> </w:t>
      </w:r>
      <w:r>
        <w:rPr>
          <w:rFonts w:ascii="Times New Roman" w:hAnsi="Times New Roman"/>
          <w:b w:val="false"/>
          <w:i/>
          <w:color w:val="000000"/>
          <w:sz w:val="22"/>
        </w:rPr>
        <w:t xml:space="preserve">Appeal of a determination of failure to perform.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area agency on aging may appeal the department’s determination of a failure to perform that leads to a remedy citation. Appeals will be provided in accordance with </w:t>
      </w:r>
      <w:hyperlink r:id="rId8">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 xml:space="preserve">. Iowa Code section </w:t>
      </w:r>
      <w:hyperlink r:id="rId9">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 xml:space="preserve"> does not apply to these appeals.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area agency on aging may not appeal the choice of remedy, including the factors considered by the department in choosing the remedy.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9495C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10"/>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441.16.pdf" Type="http://schemas.openxmlformats.org/officeDocument/2006/relationships/hyperlink" Id="rId4"/>
    <Relationship TargetMode="External" Target="https://www.legis.iowa.gov/docs/iac/rule/441.226.11.pdf" Type="http://schemas.openxmlformats.org/officeDocument/2006/relationships/hyperlink" Id="rId5"/>
    <Relationship TargetMode="External" Target="https://www.legis.iowa.gov/docs/iac/rule/441.226.7.pdf" Type="http://schemas.openxmlformats.org/officeDocument/2006/relationships/hyperlink" Id="rId6"/>
    <Relationship TargetMode="External" Target="https://www.legis.iowa.gov/docs/iac/rule/441.226.7.pdf" Type="http://schemas.openxmlformats.org/officeDocument/2006/relationships/hyperlink" Id="rId7"/>
    <Relationship TargetMode="External" Target="https://www.legis.iowa.gov/docs/iac/chapter/441.2506.pdf" Type="http://schemas.openxmlformats.org/officeDocument/2006/relationships/hyperlink" Id="rId8"/>
    <Relationship TargetMode="External" Target="https://www.legis.iowa.gov/docs/ico/chapter/17A.19.pdf" Type="http://schemas.openxmlformats.org/officeDocument/2006/relationships/hyperlink" Id="rId9"/>
    <Relationship Target="footer.xml" Type="http://schemas.openxmlformats.org/officeDocument/2006/relationships/footer" Id="rId10"/>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