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441—225.1</w:t>
      </w:r>
      <w:r>
        <w:rPr>
          <w:rFonts w:ascii="Times New Roman" w:hAnsi="Times New Roman"/>
          <w:b/>
          <w:i w:val="false"/>
          <w:color w:val="000000"/>
          <w:sz w:val="22"/>
        </w:rPr>
        <w:t xml:space="preserve">(231)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rules set forth in the chapters under the jurisdiction of the department apply to all grants awarded to any recipient through the department and to any entities regulated by the department. Compliance with these rules is mandatory unless a waiver is granted in accordance with the procedures in </w:t>
      </w:r>
      <w:hyperlink r:id="rId4">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