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441—223.4</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4">
        <w:r>
          <w:rPr>
            <w:rStyle w:val="Hyperlink"/>
            <w:rFonts w:ascii="Times New Roman" w:hAnsi="Times New Roman"/>
            <w:b w:val="false"/>
            <w:i w:val="false"/>
            <w:color w:val="000000"/>
            <w:sz w:val="22"/>
          </w:rPr>
          <w:t>223.4(14)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disability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 xml:space="preserve">Persons living with disabilities will be provided assistance through the use of auxiliary aids and services at no cost to the individual in accordance with the Americans with Disabilities Act (as amended, effective December 31, 2023) and </w:t>
      </w:r>
      <w:r>
        <w:rPr>
          <w:rFonts w:ascii="Times New Roman" w:hAnsi="Times New Roman"/>
          <w:b w:val="false"/>
          <w:i w:val="false"/>
          <w:color w:val="000000"/>
          <w:sz w:val="22"/>
        </w:rPr>
        <w:t>Section 504 of the Rehabilitation Act</w:t>
      </w:r>
      <w:r>
        <w:rPr>
          <w:rFonts w:ascii="Times New Roman" w:hAnsi="Times New Roman"/>
          <w:b w:val="false"/>
          <w:i w:val="false"/>
          <w:color w:val="000000"/>
          <w:sz w:val="22"/>
        </w:rPr>
        <w:t xml:space="preserve">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that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23.4.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ac/rule/441.7.9.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ac/chapter/441.2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