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441—175.32</w:t>
      </w:r>
      <w:r>
        <w:rPr>
          <w:rFonts w:ascii="Times New Roman" w:hAnsi="Times New Roman"/>
          <w:b/>
          <w:i w:val="false"/>
          <w:color w:val="000000"/>
          <w:sz w:val="22"/>
        </w:rPr>
        <w:t xml:space="preserve">(232,235A) </w:t>
      </w:r>
      <w:r>
        <w:rPr>
          <w:rFonts w:ascii="Times New Roman" w:hAnsi="Times New Roman"/>
          <w:b/>
          <w:i w:val="false"/>
          <w:color w:val="000000"/>
          <w:sz w:val="22"/>
        </w:rPr>
        <w:t xml:space="preserve">Case records. </w:t>
      </w:r>
      <w:r>
        <w:rPr>
          <w:rFonts w:ascii="Times New Roman" w:hAnsi="Times New Roman"/>
          <w:b w:val="false"/>
          <w:i w:val="false"/>
          <w:color w:val="000000"/>
          <w:sz w:val="22"/>
        </w:rPr>
        <w:t xml:space="preserve">The assessment case record shall contain the assessment report as described in rule </w:t>
      </w:r>
      <w:hyperlink r:id="rId4">
        <w:r>
          <w:rPr>
            <w:rStyle w:val="Hyperlink"/>
            <w:rFonts w:ascii="Times New Roman" w:hAnsi="Times New Roman"/>
            <w:b w:val="false"/>
            <w:i w:val="false"/>
            <w:color w:val="000000"/>
            <w:sz w:val="22"/>
          </w:rPr>
          <w:t>441—175.26</w:t>
        </w:r>
      </w:hyperlink>
      <w:r>
        <w:rPr>
          <w:rFonts w:ascii="Times New Roman" w:hAnsi="Times New Roman"/>
          <w:b w:val="false"/>
          <w:i w:val="false"/>
          <w:color w:val="000000"/>
          <w:sz w:val="22"/>
        </w:rPr>
        <w:t>(232) and any related correspondence or information which pertains to the assessment or to the child and family. The name of the person who made the report of child abuse shall not be disclosed.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175.32(1)</w:t>
      </w:r>
      <w:r>
        <w:rPr>
          <w:rFonts w:ascii="Times New Roman" w:hAnsi="Times New Roman"/>
          <w:b w:val="false"/>
          <w:i w:val="false"/>
          <w:color w:val="000000"/>
          <w:sz w:val="22"/>
        </w:rPr>
        <w:t> </w:t>
      </w:r>
      <w:r>
        <w:rPr>
          <w:rFonts w:ascii="Times New Roman" w:hAnsi="Times New Roman"/>
          <w:b w:val="false"/>
          <w:i/>
          <w:color w:val="000000"/>
          <w:sz w:val="22"/>
        </w:rPr>
        <w:t xml:space="preserve">Child abuse assessment report. </w:t>
      </w:r>
      <w:r>
        <w:rPr>
          <w:rFonts w:ascii="Times New Roman" w:hAnsi="Times New Roman"/>
          <w:b w:val="false"/>
          <w:i w:val="false"/>
          <w:color w:val="000000"/>
          <w:sz w:val="22"/>
        </w:rPr>
        <w:t>A child abuse assessment report has two parts.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 and disposition data as described in </w:t>
      </w:r>
      <w:hyperlink r:id="rId5">
        <w:r>
          <w:rPr>
            <w:rStyle w:val="Hyperlink"/>
            <w:rFonts w:ascii="Times New Roman" w:hAnsi="Times New Roman"/>
            <w:b w:val="false"/>
            <w:i w:val="false"/>
            <w:color w:val="000000"/>
            <w:sz w:val="22"/>
          </w:rPr>
          <w:t>175.26(1)</w:t>
        </w:r>
        <w:r>
          <w:rPr>
            <w:rFonts w:ascii="Times New Roman" w:hAnsi="Times New Roman"/>
            <w:b w:val="false"/>
            <w:i/>
            <w:color w:val="000000"/>
            <w:sz w:val="22"/>
          </w:rPr>
          <w:t>“a.”</w:t>
        </w:r>
      </w:hyperlink>
      <w:r>
        <w:rPr>
          <w:rFonts w:ascii="Times New Roman" w:hAnsi="Times New Roman"/>
          <w:b w:val="false"/>
          <w:i w:val="false"/>
          <w:color w:val="000000"/>
          <w:sz w:val="22"/>
        </w:rPr>
        <w:t xml:space="preserve"> Subjects of the report have access to report and disposition data, including, where applicable, confirmation of placement on the central abuse registry for abuse reports meeting the criteria pursuant to Iowa Code section </w:t>
      </w:r>
      <w:hyperlink r:id="rId6">
        <w:r>
          <w:rPr>
            <w:rStyle w:val="Hyperlink"/>
            <w:rFonts w:ascii="Times New Roman" w:hAnsi="Times New Roman"/>
            <w:b w:val="false"/>
            <w:i w:val="false"/>
            <w:color w:val="000000"/>
            <w:sz w:val="22"/>
          </w:rPr>
          <w:t>232.71D</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House File 590</w:t>
      </w:r>
      <w:r>
        <w:rPr>
          <w:rFonts w:ascii="Times New Roman" w:hAnsi="Times New Roman"/>
          <w:b w:val="false"/>
          <w:i w:val="false"/>
          <w:color w:val="000000"/>
          <w:sz w:val="22"/>
        </w:rPr>
        <w:t xml:space="preserve">. A child abuse assessment report shall be submitted to the central abuse registry only if the abuse is confirmed and determined to meet the criteria pursuant to Iowa Code section </w:t>
      </w:r>
      <w:hyperlink r:id="rId7">
        <w:r>
          <w:rPr>
            <w:rStyle w:val="Hyperlink"/>
            <w:rFonts w:ascii="Times New Roman" w:hAnsi="Times New Roman"/>
            <w:b w:val="false"/>
            <w:i w:val="false"/>
            <w:color w:val="000000"/>
            <w:sz w:val="22"/>
          </w:rPr>
          <w:t>232.71D</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House File 590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Assessment data as described in </w:t>
      </w:r>
      <w:hyperlink r:id="rId8">
        <w:r>
          <w:rPr>
            <w:rStyle w:val="Hyperlink"/>
            <w:rFonts w:ascii="Times New Roman" w:hAnsi="Times New Roman"/>
            <w:b w:val="false"/>
            <w:i w:val="false"/>
            <w:color w:val="000000"/>
            <w:sz w:val="22"/>
          </w:rPr>
          <w:t>175.26(1)</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be available to subjects. Release of assessment data shall be accomplished only when the parent or guardian approves the release as provided in Iowa Code section </w:t>
      </w:r>
      <w:hyperlink r:id="rId9">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or as specified in Iowa Code section </w:t>
      </w:r>
      <w:hyperlink r:id="rId10">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 Assessment data shall not be submitted to the central abuse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175.32(2)</w:t>
      </w:r>
      <w:r>
        <w:rPr>
          <w:rFonts w:ascii="Times New Roman" w:hAnsi="Times New Roman"/>
          <w:b w:val="false"/>
          <w:i w:val="false"/>
          <w:color w:val="000000"/>
          <w:sz w:val="22"/>
        </w:rPr>
        <w:t> </w:t>
      </w:r>
      <w:r>
        <w:rPr>
          <w:rFonts w:ascii="Times New Roman" w:hAnsi="Times New Roman"/>
          <w:b w:val="false"/>
          <w:i/>
          <w:color w:val="000000"/>
          <w:sz w:val="22"/>
        </w:rPr>
        <w:t xml:space="preserve">Family assessment report. </w:t>
      </w:r>
      <w:r>
        <w:rPr>
          <w:rFonts w:ascii="Times New Roman" w:hAnsi="Times New Roman"/>
          <w:b w:val="false"/>
          <w:i w:val="false"/>
          <w:color w:val="000000"/>
          <w:sz w:val="22"/>
        </w:rPr>
        <w:t xml:space="preserve">A family assessment report includes assessment data only as described in </w:t>
      </w:r>
      <w:hyperlink r:id="rId11">
        <w:r>
          <w:rPr>
            <w:rStyle w:val="Hyperlink"/>
            <w:rFonts w:ascii="Times New Roman" w:hAnsi="Times New Roman"/>
            <w:b w:val="false"/>
            <w:i w:val="false"/>
            <w:color w:val="000000"/>
            <w:sz w:val="22"/>
          </w:rPr>
          <w:t>175.26(2)</w:t>
        </w:r>
        <w:r>
          <w:rPr>
            <w:rFonts w:ascii="Times New Roman" w:hAnsi="Times New Roman"/>
            <w:b w:val="false"/>
            <w:i/>
            <w:color w:val="000000"/>
            <w:sz w:val="22"/>
          </w:rPr>
          <w:t>“b.”</w:t>
        </w:r>
      </w:hyperlink>
      <w:r>
        <w:rPr>
          <w:rFonts w:ascii="Times New Roman" w:hAnsi="Times New Roman"/>
          <w:b w:val="false"/>
          <w:i w:val="false"/>
          <w:color w:val="000000"/>
          <w:sz w:val="22"/>
        </w:rPr>
        <w:t xml:space="preserve"> Assessment data shall be available to subjects. Release of assessment data shall be accomplished only when the parent or guardian of a child named in a family assessment report approves the release as provided in Iowa Code section </w:t>
      </w:r>
      <w:hyperlink r:id="rId12">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or as specified in Iowa Code section </w:t>
      </w:r>
      <w:hyperlink r:id="rId13">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 Assessment data shall not be submitted to the central abuse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175.32(3)</w:t>
      </w:r>
      <w:r>
        <w:rPr>
          <w:rFonts w:ascii="Times New Roman" w:hAnsi="Times New Roman"/>
          <w:b w:val="false"/>
          <w:i w:val="false"/>
          <w:color w:val="000000"/>
          <w:sz w:val="22"/>
        </w:rPr>
        <w:t> </w:t>
      </w:r>
      <w:r>
        <w:rPr>
          <w:rFonts w:ascii="Times New Roman" w:hAnsi="Times New Roman"/>
          <w:b w:val="false"/>
          <w:i/>
          <w:color w:val="000000"/>
          <w:sz w:val="22"/>
        </w:rPr>
        <w:t xml:space="preserve">Child abuse assessments where abuse was confirmed but not placed on the central abuse registry. </w:t>
      </w:r>
      <w:r>
        <w:rPr>
          <w:rFonts w:ascii="Times New Roman" w:hAnsi="Times New Roman"/>
          <w:b w:val="false"/>
          <w:i w:val="false"/>
          <w:color w:val="000000"/>
          <w:sz w:val="22"/>
        </w:rPr>
        <w:t>The following conditions apply to case records for assessments in which abuse was confirmed but not placed on the central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 to the report data and disposition data is authorized only to the subjects of the report, the child protection worker, the law enforcement officer responsible for assisting in the assessment or for the temporary emergency removal of a child from the child’s home, the multidisciplinary team assisting the department in the assessment of the abuse, the county attorney, juvenile court, a person or agency responsible for the care of the child if the department or juvenile court determines that access is necessary, the department or contract personnel necessary for official duties, the department of justice, and the attorney for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abuse assessment is retained for five years from the date of intake or five years from the date of closure of the service record, whichever occurs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abuse assessment report is subject to the confidentiality provisions of Iowa Code section </w:t>
      </w:r>
      <w:hyperlink r:id="rId14">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441—Chapter 9</w:t>
        </w:r>
      </w:hyperlink>
      <w:r>
        <w:rPr>
          <w:rFonts w:ascii="Times New Roman" w:hAnsi="Times New Roman"/>
          <w:b w:val="false"/>
          <w:i w:val="false"/>
          <w:color w:val="000000"/>
          <w:sz w:val="22"/>
        </w:rPr>
        <w:t xml:space="preserve">. No confidential information shall be released without consent except where there is otherwise authorized access to information as specified in the provisions of Iowa Code section </w:t>
      </w:r>
      <w:hyperlink r:id="rId16">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175.32(4)</w:t>
      </w:r>
      <w:r>
        <w:rPr>
          <w:rFonts w:ascii="Times New Roman" w:hAnsi="Times New Roman"/>
          <w:b w:val="false"/>
          <w:i w:val="false"/>
          <w:color w:val="000000"/>
          <w:sz w:val="22"/>
        </w:rPr>
        <w:t> </w:t>
      </w:r>
      <w:r>
        <w:rPr>
          <w:rFonts w:ascii="Times New Roman" w:hAnsi="Times New Roman"/>
          <w:b w:val="false"/>
          <w:i/>
          <w:color w:val="000000"/>
          <w:sz w:val="22"/>
        </w:rPr>
        <w:t xml:space="preserve">Child abuse assessments not placed on the central abuse registry where abuse was not confirmed. </w:t>
      </w:r>
      <w:r>
        <w:rPr>
          <w:rFonts w:ascii="Times New Roman" w:hAnsi="Times New Roman"/>
          <w:b w:val="false"/>
          <w:i w:val="false"/>
          <w:color w:val="000000"/>
          <w:sz w:val="22"/>
        </w:rPr>
        <w:t>The following conditions apply to case records for assessments in which abuse was not confirmed and not placed on the central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 to the assessment data on a child abuse assessment summary where abuse was not determined to have occurred and, therefore, the assessment was not placed on the central abuse registry is authorized only to the subjects of the assessment, the child protection worker, the county attorney, juvenile court, a person or agency responsible for the care of the child if the department or juvenile court determines that access is necessary, the department of justice, and department or contract personnel necessary for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are retained for five years from the date of intake or five years from the date of closure of the service record, whichever occurs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abuse assessment report is subject to the confidentiality provisions of Iowa Code section </w:t>
      </w:r>
      <w:hyperlink r:id="rId17">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441—Chapter 2505</w:t>
        </w:r>
      </w:hyperlink>
      <w:r>
        <w:rPr>
          <w:rFonts w:ascii="Times New Roman" w:hAnsi="Times New Roman"/>
          <w:b w:val="false"/>
          <w:i w:val="false"/>
          <w:color w:val="000000"/>
          <w:sz w:val="22"/>
        </w:rPr>
        <w:t xml:space="preserve">. No confidential information shall be released without consent except where there is otherwise authorized access to information as specified in the provisions of Iowa Code section </w:t>
      </w:r>
      <w:hyperlink r:id="rId19">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175.32(5)</w:t>
      </w:r>
      <w:r>
        <w:rPr>
          <w:rFonts w:ascii="Times New Roman" w:hAnsi="Times New Roman"/>
          <w:b w:val="false"/>
          <w:i w:val="false"/>
          <w:color w:val="000000"/>
          <w:sz w:val="22"/>
        </w:rPr>
        <w:t> </w:t>
      </w:r>
      <w:r>
        <w:rPr>
          <w:rFonts w:ascii="Times New Roman" w:hAnsi="Times New Roman"/>
          <w:b w:val="false"/>
          <w:i/>
          <w:color w:val="000000"/>
          <w:sz w:val="22"/>
        </w:rPr>
        <w:t xml:space="preserve">Family assessment. </w:t>
      </w:r>
      <w:r>
        <w:rPr>
          <w:rFonts w:ascii="Times New Roman" w:hAnsi="Times New Roman"/>
          <w:b w:val="false"/>
          <w:i w:val="false"/>
          <w:color w:val="000000"/>
          <w:sz w:val="22"/>
        </w:rPr>
        <w:t>The following conditions apply to case records for all family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 to the assessment data on a family assessment report is authorized only to the subjects of the assessment, the child protection worker, a person or agency responsible for the care of the child if the department or juvenile court determines that access is necessary, the department of justice, and department or contract personnel necessary for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are retained for five years from the date of intake or five years from the date of closure of the service record, whichever occurs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family assessment report is subject to the confidentiality provisions of Iowa Code section </w:t>
      </w:r>
      <w:hyperlink r:id="rId20">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441—Chapter 2505</w:t>
        </w:r>
      </w:hyperlink>
      <w:r>
        <w:rPr>
          <w:rFonts w:ascii="Times New Roman" w:hAnsi="Times New Roman"/>
          <w:b w:val="false"/>
          <w:i w:val="false"/>
          <w:color w:val="000000"/>
          <w:sz w:val="22"/>
        </w:rPr>
        <w:t xml:space="preserve">. No confidential information shall be released without consent except where there is otherwise authorized access to information as specified in the provisions of Iowa Code section </w:t>
      </w:r>
      <w:hyperlink r:id="rId22">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9698B</w:t>
      </w:r>
      <w:r>
        <w:rPr>
          <w:rFonts w:ascii="Times New Roman" w:hAnsi="Times New Roman"/>
          <w:b w:val="false"/>
          <w:i w:val="false"/>
          <w:color w:val="000000"/>
          <w:sz w:val="16"/>
        </w:rPr>
        <w:t>, IAB 9/7/11, effective 8/15/11</w:t>
      </w:r>
      <w:r>
        <w:rPr>
          <w:rFonts w:ascii="Times New Roman" w:hAnsi="Times New Roman"/>
          <w:b w:val="false"/>
          <w:i w:val="false"/>
          <w:color w:val="000000"/>
          <w:sz w:val="16"/>
        </w:rPr>
        <w:t xml:space="preserve">; </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2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175.26.pdf" Type="http://schemas.openxmlformats.org/officeDocument/2006/relationships/hyperlink" Id="rId4"/>
    <Relationship TargetMode="External" Target="https://www.legis.iowa.gov/docs/iac/rule/441.175.26.pdf" Type="http://schemas.openxmlformats.org/officeDocument/2006/relationships/hyperlink" Id="rId5"/>
    <Relationship TargetMode="External" Target="https://www.legis.iowa.gov/docs/ico/chapter/232.71D.pdf" Type="http://schemas.openxmlformats.org/officeDocument/2006/relationships/hyperlink" Id="rId6"/>
    <Relationship TargetMode="External" Target="https://www.legis.iowa.gov/docs/ico/chapter/232.71D.pdf" Type="http://schemas.openxmlformats.org/officeDocument/2006/relationships/hyperlink" Id="rId7"/>
    <Relationship TargetMode="External" Target="https://www.legis.iowa.gov/docs/iac/rule/441.175.26.pdf" Type="http://schemas.openxmlformats.org/officeDocument/2006/relationships/hyperlink" Id="rId8"/>
    <Relationship TargetMode="External" Target="https://www.legis.iowa.gov/docs/ico/chapter/217.30.pdf" Type="http://schemas.openxmlformats.org/officeDocument/2006/relationships/hyperlink" Id="rId9"/>
    <Relationship TargetMode="External" Target="https://www.legis.iowa.gov/docs/ico/chapter/235A.15.pdf" Type="http://schemas.openxmlformats.org/officeDocument/2006/relationships/hyperlink" Id="rId10"/>
    <Relationship TargetMode="External" Target="https://www.legis.iowa.gov/docs/iac/rule/441.175.26.pdf" Type="http://schemas.openxmlformats.org/officeDocument/2006/relationships/hyperlink" Id="rId11"/>
    <Relationship TargetMode="External" Target="https://www.legis.iowa.gov/docs/ico/chapter/217.30.pdf" Type="http://schemas.openxmlformats.org/officeDocument/2006/relationships/hyperlink" Id="rId12"/>
    <Relationship TargetMode="External" Target="https://www.legis.iowa.gov/docs/ico/chapter/235A.15.pdf" Type="http://schemas.openxmlformats.org/officeDocument/2006/relationships/hyperlink" Id="rId13"/>
    <Relationship TargetMode="External" Target="https://www.legis.iowa.gov/docs/ico/chapter/217.30.pdf" Type="http://schemas.openxmlformats.org/officeDocument/2006/relationships/hyperlink" Id="rId14"/>
    <Relationship TargetMode="External" Target="https://www.legis.iowa.gov/docs/iac/chapter/441.9.pdf" Type="http://schemas.openxmlformats.org/officeDocument/2006/relationships/hyperlink" Id="rId15"/>
    <Relationship TargetMode="External" Target="https://www.legis.iowa.gov/docs/ico/chapter/235A.15.pdf" Type="http://schemas.openxmlformats.org/officeDocument/2006/relationships/hyperlink" Id="rId16"/>
    <Relationship TargetMode="External" Target="https://www.legis.iowa.gov/docs/ico/chapter/217.30.pdf" Type="http://schemas.openxmlformats.org/officeDocument/2006/relationships/hyperlink" Id="rId17"/>
    <Relationship TargetMode="External" Target="https://www.legis.iowa.gov/docs/iac/chapter/441.2505.pdf" Type="http://schemas.openxmlformats.org/officeDocument/2006/relationships/hyperlink" Id="rId18"/>
    <Relationship TargetMode="External" Target="https://www.legis.iowa.gov/docs/ico/chapter/235A.15.pdf" Type="http://schemas.openxmlformats.org/officeDocument/2006/relationships/hyperlink" Id="rId19"/>
    <Relationship TargetMode="External" Target="https://www.legis.iowa.gov/docs/ico/chapter/217.30.pdf" Type="http://schemas.openxmlformats.org/officeDocument/2006/relationships/hyperlink" Id="rId20"/>
    <Relationship TargetMode="External" Target="https://www.legis.iowa.gov/docs/iac/chapter/441.2505.pdf" Type="http://schemas.openxmlformats.org/officeDocument/2006/relationships/hyperlink" Id="rId21"/>
    <Relationship TargetMode="External" Target="https://www.legis.iowa.gov/docs/ico/chapter/235A.15.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