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441—174.9</w:t>
      </w:r>
      <w:r>
        <w:rPr>
          <w:rFonts w:ascii="Times New Roman" w:hAnsi="Times New Roman"/>
          <w:b/>
          <w:i w:val="false"/>
          <w:color w:val="000000"/>
          <w:sz w:val="22"/>
        </w:rPr>
        <w:t xml:space="preserve">(232E) </w:t>
      </w:r>
      <w:r>
        <w:rPr>
          <w:rFonts w:ascii="Times New Roman" w:hAnsi="Times New Roman"/>
          <w:b/>
          <w:i w:val="false"/>
          <w:color w:val="000000"/>
          <w:sz w:val="22"/>
        </w:rPr>
        <w:t xml:space="preserve">Substantiated report—right of school employee to contested case proceedings and further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the written investigation report is submitted to the board of directors of the public school district or the authorities in charge of the nonpublic school, as applicable, and the board of educational examiners, if applicable, under paragraph </w:t>
      </w:r>
      <w:hyperlink r:id="rId4">
        <w:r>
          <w:rPr>
            <w:rStyle w:val="Hyperlink"/>
            <w:rFonts w:ascii="Times New Roman" w:hAnsi="Times New Roman"/>
            <w:b w:val="false"/>
            <w:i w:val="false"/>
            <w:color w:val="000000"/>
            <w:sz w:val="22"/>
          </w:rPr>
          <w:t>174.7(1)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will provide notice of the department’s determination regarding the allegation of student abuse to the school employee who is the subject of the investigation pursuant to </w:t>
      </w:r>
      <w:hyperlink r:id="rId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174.9(2)</w:t>
      </w:r>
      <w:r>
        <w:rPr>
          <w:rFonts w:ascii="Times New Roman" w:hAnsi="Times New Roman"/>
          <w:b w:val="false"/>
          <w:i w:val="false"/>
          <w:color w:val="000000"/>
          <w:sz w:val="22"/>
        </w:rPr>
        <w:t> </w:t>
      </w:r>
      <w:r>
        <w:rPr>
          <w:rFonts w:ascii="Times New Roman" w:hAnsi="Times New Roman"/>
          <w:b w:val="false"/>
          <w:i w:val="false"/>
          <w:color w:val="000000"/>
          <w:sz w:val="22"/>
        </w:rPr>
        <w:t>If the notice of determination includes a statement that the allegation of student abuse is substantiated, the notice of determination will also inform the school employee who is the subject of the investigation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employee’s right to contested case proceedings and further review pursuant to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and process to request additional investigation report data and information and disposition data and information as specified in department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174.9(3)</w:t>
      </w:r>
      <w:r>
        <w:rPr>
          <w:rFonts w:ascii="Times New Roman" w:hAnsi="Times New Roman"/>
          <w:b w:val="false"/>
          <w:i w:val="false"/>
          <w:color w:val="000000"/>
          <w:sz w:val="22"/>
        </w:rPr>
        <w:t> </w:t>
      </w:r>
      <w:r>
        <w:rPr>
          <w:rFonts w:ascii="Times New Roman" w:hAnsi="Times New Roman"/>
          <w:b w:val="false"/>
          <w:i w:val="false"/>
          <w:color w:val="000000"/>
          <w:sz w:val="22"/>
        </w:rPr>
        <w:t>The appellant must appeal on or before the thirtieth day following the date of notice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174.9(4)</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board of directors of the public school district or the authorities in charge of the nonpublic school, as applicable, and the board of educational examiners, if applicable,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school employee requests contested case proceedings under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party requests director’s review pursuant to rule </w:t>
      </w:r>
      <w:hyperlink r:id="rId8">
        <w:r>
          <w:rPr>
            <w:rStyle w:val="Hyperlink"/>
            <w:rFonts w:ascii="Times New Roman" w:hAnsi="Times New Roman"/>
            <w:b w:val="false"/>
            <w:i w:val="false"/>
            <w:color w:val="000000"/>
            <w:sz w:val="22"/>
          </w:rPr>
          <w:t>441—subrule 2506.27(1)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final decision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174.9(5)</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employment, or other action that may be taken in response to an investigation report by the directors of a public school district or the authorities in charge of a nonpublic school, and the board of educational examiners, if applicable, is stayed during the pendency of the proceedings under subrule </w:t>
      </w:r>
      <w:hyperlink r:id="rId9">
        <w:r>
          <w:rPr>
            <w:rStyle w:val="Hyperlink"/>
            <w:rFonts w:ascii="Times New Roman" w:hAnsi="Times New Roman"/>
            <w:b w:val="false"/>
            <w:i w:val="false"/>
            <w:color w:val="000000"/>
            <w:sz w:val="22"/>
          </w:rPr>
          <w:t>174.9(2)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9953C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4.7.pdf" Type="http://schemas.openxmlformats.org/officeDocument/2006/relationships/hyperlink" Id="rId4"/>
    <Relationship TargetMode="External" Target="https://www.legis.iowa.gov/docs/iac/chapter/441.16.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rule/441.2506.27.pdf" Type="http://schemas.openxmlformats.org/officeDocument/2006/relationships/hyperlink" Id="rId8"/>
    <Relationship TargetMode="External" Target="https://www.legis.iowa.gov/docs/iac/rule/441.174.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