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441—125.4</w:t>
      </w:r>
      <w:r>
        <w:rPr>
          <w:rFonts w:ascii="Times New Roman" w:hAnsi="Times New Roman"/>
          <w:b/>
          <w:i w:val="false"/>
          <w:color w:val="000000"/>
          <w:sz w:val="22"/>
        </w:rPr>
        <w:t xml:space="preserve">(237) </w:t>
      </w:r>
      <w:r>
        <w:rPr>
          <w:rFonts w:ascii="Times New Roman" w:hAnsi="Times New Roman"/>
          <w:b/>
          <w:i w:val="false"/>
          <w:color w:val="000000"/>
          <w:sz w:val="22"/>
        </w:rPr>
        <w:t xml:space="preserve">Approval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Applicants for an initial approval to become a kinship foster home shall submit the Kinship Foster Care Approval Application forms directed in rule </w:t>
      </w:r>
      <w:hyperlink r:id="rId4">
        <w:r>
          <w:rPr>
            <w:rStyle w:val="Hyperlink"/>
            <w:rFonts w:ascii="Times New Roman" w:hAnsi="Times New Roman"/>
            <w:b w:val="false"/>
            <w:i w:val="false"/>
            <w:color w:val="000000"/>
            <w:sz w:val="22"/>
          </w:rPr>
          <w:t>441—125.2</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125.4(2)</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 xml:space="preserve">Prior to approval of an application for kinship foster care, applicants shall pass the record check procedures identified in rule </w:t>
      </w:r>
      <w:hyperlink r:id="rId5">
        <w:r>
          <w:rPr>
            <w:rStyle w:val="Hyperlink"/>
            <w:rFonts w:ascii="Times New Roman" w:hAnsi="Times New Roman"/>
            <w:b w:val="false"/>
            <w:i w:val="false"/>
            <w:color w:val="000000"/>
            <w:sz w:val="22"/>
          </w:rPr>
          <w:t>441—125.7</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125.4(3)</w:t>
      </w:r>
      <w:r>
        <w:rPr>
          <w:rFonts w:ascii="Times New Roman" w:hAnsi="Times New Roman"/>
          <w:b w:val="false"/>
          <w:i w:val="false"/>
          <w:color w:val="000000"/>
          <w:sz w:val="22"/>
        </w:rPr>
        <w:t> </w:t>
      </w:r>
      <w:r>
        <w:rPr>
          <w:rFonts w:ascii="Times New Roman" w:hAnsi="Times New Roman"/>
          <w:b w:val="false"/>
          <w:i/>
          <w:color w:val="000000"/>
          <w:sz w:val="22"/>
        </w:rPr>
        <w:t xml:space="preserve">Home study. </w:t>
      </w:r>
      <w:r>
        <w:rPr>
          <w:rFonts w:ascii="Times New Roman" w:hAnsi="Times New Roman"/>
          <w:b w:val="false"/>
          <w:i w:val="false"/>
          <w:color w:val="000000"/>
          <w:sz w:val="22"/>
        </w:rPr>
        <w:t>The recruitment and retention contractor shall complete a kinship foster care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 xml:space="preserve">Information for the home study is gathered primarily through a face-to-face interview with the identified kinship caregiver(s) in the home. Tribal agencies may also be involved in conducting home studies for American Indian and Alaska Native children. </w:t>
      </w:r>
      <w:r>
        <w:rPr>
          <w:rFonts w:ascii="Times New Roman" w:hAnsi="Times New Roman"/>
          <w:b w:val="false"/>
          <w:i w:val="false"/>
          <w:color w:val="000000"/>
          <w:sz w:val="22"/>
        </w:rPr>
        <w:t>42 U.S.C. §671(a)(26)(B)</w:t>
      </w:r>
      <w:r>
        <w:rPr>
          <w:rFonts w:ascii="Times New Roman" w:hAnsi="Times New Roman"/>
          <w:b w:val="false"/>
          <w:i w:val="false"/>
          <w:color w:val="000000"/>
          <w:sz w:val="22"/>
        </w:rPr>
        <w:t xml:space="preserve"> as amended to August 1, 2025, provides that any receiving state must treat any tribal home study report as meeting the requirements imposed by the state for the completion of a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hold at least one face-to-face interview with the applicant(s) with one of the interviews taking place in the applicant’s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assessment of the home is required. The contractor shall use a Kinship Foster Care Home Study form to assess the physical structure of the home to verify it is safe for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Caregiver assessment. </w:t>
      </w:r>
      <w:r>
        <w:rPr>
          <w:rFonts w:ascii="Times New Roman" w:hAnsi="Times New Roman"/>
          <w:b w:val="false"/>
          <w:i w:val="false"/>
          <w:color w:val="000000"/>
          <w:sz w:val="22"/>
        </w:rPr>
        <w:t>The kinship caregiver shall be assessed to evaluate the caregiver’s ability to meet the needs of the court-ordered placed child. The assessment will include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ability to provide for the child’s physical, medical, and emotional needs; to respect the child’s ethnic and religious identity; and to support the child’s overall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safety of the child in relation to any animals that live on the applicant’s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Knowledge of the child’s situation, the caregiver’s relationship with the child, the child’s family and knowledge of the child’s situation and department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Agreement to abstain from using physical forms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Understanding of the reasonable and prudent parenting standard and how to successfully apply the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caregiver’s willingness to access resources and additional supports needed for placement stability to meet the needs of their family and the child placed in their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caregiver’s and other household members’ current health status, including current prescription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caregiver’s previous or current challenges with mental health, substance use or both and the potential impact it may have on the caregiver’s ability to care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Assessment of whether previous violence was experienced in the caregiver’s home and how it has been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caregiver’s willingness and ability to ensure the child’s attendance at school; appointments for medical, dental, and vision; activities; and to ensure family interactions with parents and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Assessment of the caregiver’s ability and willingness to commit to the child, to work with the department, and to be considered as a long-term permanency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Understanding of household composition, who has access to the child, other adults and children in the household, relationship status of household members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Description of the caregiver’s available formal and informal supports to ensure child safety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home assessment. </w:t>
      </w:r>
      <w:r>
        <w:rPr>
          <w:rFonts w:ascii="Times New Roman" w:hAnsi="Times New Roman"/>
          <w:b w:val="false"/>
          <w:i w:val="false"/>
          <w:color w:val="000000"/>
          <w:sz w:val="22"/>
        </w:rPr>
        <w:t>The physical home assessment shall assess the following areas of the applicant’s home and address necessary steps to mitigate concerns when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description of the dwelling, including the number of bedrooms, bathrooms, and shared areas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any signs of home infestation by rodents, insects, or other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Existence of external hazards, such as accessibility of pools/hot tubs, nearby bodies of water, railroad tracks, waste materials, or contaminated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Existence of internal hazards that pose a risk of harm created by the physical structure of the home, such as broken or missing stairs, exposed wires, large holes in the floor, broken windows, or other physical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Accessibility of hazardous materials or items in the home or on the property and the means to make them inaccessible to the child in an age-appropriate way or used with appropriate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Evaluation of a child’s access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Firearms and projectile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Strong or toxic chemicals, such as detergents, bleach, and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Tools, machinery, farm equipment, lawn mowers, and trampolines.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Evaluation of the sleeping arrangements for children placed in the home,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Planned sharing of sleeping spaces.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children will have privacy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supports are needed to provide beds, bedding, or establish opportunities for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Discussion of safe sleeping practices for children aged one and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Ability to ensure the child’s access to age-appropriate personal hygiene (bathing, brushing teeth, wearing clean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protect the child in an age-appropriate manner from pets or animals.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Age-appropriate safe seat restraints (car seat, seatbelt, etc.) in personal vehicles used to transport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provide the child ongoing access to adequate, nutritious, age-appropriate food, including the ability to keep perishable items cold.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Understanding of the child’s dietary needs related to cultural/religious traditions, medical needs, and allergies.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plan for fire safety, including an escape plan and smoke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Ability to create a safety plan that includes the ability to contact emergency services for assistance within a reasonable distance (neighbor’s home, local business,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Description of support mechanisms needed for the caregiver to address any barriers to meeting the physical needs of the home to ensure the safety and well-being of the child and steps taken to address the needs during the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recruitment and retention contractor shall prepare a written report of the caregiver assessment. This assessment shall include a recommendation for approval or denial of the application and any other pertinent information in making the recommendation. The home study shall be maintained in the kinship caregiver’s record maintained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125.4(4)</w:t>
      </w:r>
      <w:r>
        <w:rPr>
          <w:rFonts w:ascii="Times New Roman" w:hAnsi="Times New Roman"/>
          <w:b w:val="false"/>
          <w:i w:val="false"/>
          <w:color w:val="000000"/>
          <w:sz w:val="22"/>
        </w:rPr>
        <w:t> </w:t>
      </w:r>
      <w:r>
        <w:rPr>
          <w:rFonts w:ascii="Times New Roman" w:hAnsi="Times New Roman"/>
          <w:b w:val="false"/>
          <w:i/>
          <w:color w:val="000000"/>
          <w:sz w:val="22"/>
        </w:rPr>
        <w:t xml:space="preserve">Decision and notice of action. </w:t>
      </w:r>
      <w:r>
        <w:rPr>
          <w:rFonts w:ascii="Times New Roman" w:hAnsi="Times New Roman"/>
          <w:b w:val="false"/>
          <w:i w:val="false"/>
          <w:color w:val="000000"/>
          <w:sz w:val="22"/>
        </w:rPr>
        <w:t>The department will use the home study and the recommendation of the recruitment and retention contractor to approve or deny a caregiver for kinship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family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does not approve the home study, a notice will be issued according to the provisions of </w:t>
      </w:r>
      <w:hyperlink r:id="rId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state the reasons for that decision as listed in rule </w:t>
      </w:r>
      <w:hyperlink r:id="rId7">
        <w:r>
          <w:rPr>
            <w:rStyle w:val="Hyperlink"/>
            <w:rFonts w:ascii="Times New Roman" w:hAnsi="Times New Roman"/>
            <w:b w:val="false"/>
            <w:i w:val="false"/>
            <w:color w:val="000000"/>
            <w:sz w:val="22"/>
          </w:rPr>
          <w:t>441—125.3</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denial may be appealed pursuant to the provisions set forth in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25.2.pdf" Type="http://schemas.openxmlformats.org/officeDocument/2006/relationships/hyperlink" Id="rId4"/>
    <Relationship TargetMode="External" Target="https://www.legis.iowa.gov/docs/iac/rule/441.125.7.pdf" Type="http://schemas.openxmlformats.org/officeDocument/2006/relationships/hyperlink" Id="rId5"/>
    <Relationship TargetMode="External" Target="https://www.legis.iowa.gov/docs/iac/chapter/441.16.pdf" Type="http://schemas.openxmlformats.org/officeDocument/2006/relationships/hyperlink" Id="rId6"/>
    <Relationship TargetMode="External" Target="https://www.legis.iowa.gov/docs/iac/rule/441.125.3.pdf" Type="http://schemas.openxmlformats.org/officeDocument/2006/relationships/hyperlink" Id="rId7"/>
    <Relationship TargetMode="External" Target="https://www.legis.iowa.gov/docs/iac/chapter/441.250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