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441—119.5</w:t>
      </w:r>
      <w:r>
        <w:rPr>
          <w:rFonts w:ascii="Times New Roman" w:hAnsi="Times New Roman"/>
          <w:b/>
          <w:i w:val="false"/>
          <w:color w:val="000000"/>
          <w:sz w:val="22"/>
        </w:rPr>
        <w:t xml:space="preserve">(135B,135C) </w:t>
      </w:r>
      <w:r>
        <w:rPr>
          <w:rFonts w:ascii="Times New Roman" w:hAnsi="Times New Roman"/>
          <w:b/>
          <w:i w:val="false"/>
          <w:color w:val="000000"/>
          <w:sz w:val="22"/>
        </w:rPr>
        <w:t xml:space="preserve">Appeal rights. </w:t>
      </w:r>
      <w:r>
        <w:rPr>
          <w:rFonts w:ascii="Times New Roman" w:hAnsi="Times New Roman"/>
          <w:b w:val="false"/>
          <w:i w:val="false"/>
          <w:color w:val="000000"/>
          <w:sz w:val="22"/>
        </w:rPr>
        <w:t xml:space="preserve">Any person or the person’s attorney may file a written statement with the department requesting an appeal of the record check evaluation decision within 30 days of the date of the notice of the results of the record check evaluation in accordance with </w:t>
      </w:r>
      <w:hyperlink r:id="rId4">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0349D</w:t>
      </w:r>
      <w:r>
        <w:rPr>
          <w:rFonts w:ascii="Times New Roman" w:hAnsi="Times New Roman"/>
          <w:b w:val="false"/>
          <w:i w:val="false"/>
          <w:color w:val="000000"/>
          <w:sz w:val="16"/>
        </w:rPr>
        <w:t>, IAB 6/10/26, effective 8/1/26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441.7.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