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441—119.3</w:t>
      </w:r>
      <w:r>
        <w:rPr>
          <w:rFonts w:ascii="Times New Roman" w:hAnsi="Times New Roman"/>
          <w:b/>
          <w:i w:val="false"/>
          <w:color w:val="000000"/>
          <w:sz w:val="22"/>
        </w:rPr>
        <w:t xml:space="preserve">(135C) </w:t>
      </w:r>
      <w:r>
        <w:rPr>
          <w:rFonts w:ascii="Times New Roman" w:hAnsi="Times New Roman"/>
          <w:b/>
          <w:i w:val="false"/>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The requesting entity and the prospective employee or student shall complete and submit a Record Check Evaluation Form (471-2310) to the department by regular mail, email, or fax to request an evaluation. The department will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division of criminal investigation (DCI) criminal history database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Iowa criminal history data, if there is a history, as provided to the requesting entity by DCI.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dependent adult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child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the criminal or abuse history and rehabilitation of a prospective employee or student may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