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Planned activities and personal effects.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daily routine shall be to promote and provide an opportunity for normal activity with time for rest and recreation compatible with the needs of the client.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Every client shall be encouraged to develop social relationships through participation in neighborhood and other community and group activities.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family shall not require a client to do general housecleaning, cooking, or child care for the family. A client may voluntarily share in these responsibilities.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Space shall be provided where a client may keep personal belongings.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