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441—111.12</w:t>
      </w:r>
      <w:r>
        <w:rPr>
          <w:rFonts w:ascii="Times New Roman" w:hAnsi="Times New Roman"/>
          <w:b/>
          <w:i w:val="false"/>
          <w:color w:val="000000"/>
          <w:sz w:val="22"/>
        </w:rPr>
        <w:t xml:space="preserve">(249) </w:t>
      </w:r>
      <w:r>
        <w:rPr>
          <w:rFonts w:ascii="Times New Roman" w:hAnsi="Times New Roman"/>
          <w:b/>
          <w:i w:val="false"/>
          <w:color w:val="000000"/>
          <w:sz w:val="22"/>
        </w:rPr>
        <w:t xml:space="preserve">Emergency care and release of client.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111.12(1)</w:t>
      </w:r>
      <w:r>
        <w:rPr>
          <w:rFonts w:ascii="Times New Roman" w:hAnsi="Times New Roman"/>
          <w:b w:val="false"/>
          <w:i w:val="false"/>
          <w:color w:val="000000"/>
          <w:sz w:val="22"/>
        </w:rPr>
        <w:t> </w:t>
      </w:r>
      <w:r>
        <w:rPr>
          <w:rFonts w:ascii="Times New Roman" w:hAnsi="Times New Roman"/>
          <w:b w:val="false"/>
          <w:i w:val="false"/>
          <w:color w:val="000000"/>
          <w:sz w:val="22"/>
        </w:rPr>
        <w:t>In case of an emergency, vacation, or overnight trip, requiring the family’s temporary absence from the home, the local office of the department shall be notified and arrangements shall be made with a designated, responsible person for the care of a client during the period of absence.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111.12(2)</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 when the client leaves or the client or family expresses a desire for the client to leave the family-life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