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Legal liabilities.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advise the family to seek counsel regarding the family’s needs for insurance to cover personal injury, property damage, and other legal contingencies.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