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441—111.1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adult”</w:t>
      </w:r>
      <w:r>
        <w:rPr>
          <w:rFonts w:ascii="Times New Roman" w:hAnsi="Times New Roman"/>
          <w:b w:val="false"/>
          <w:i w:val="false"/>
          <w:color w:val="000000"/>
          <w:sz w:val="22"/>
        </w:rPr>
        <w:t> </w:t>
      </w:r>
      <w:r>
        <w:rPr>
          <w:rFonts w:ascii="Times New Roman" w:hAnsi="Times New Roman"/>
          <w:b w:val="false"/>
          <w:i w:val="false"/>
          <w:color w:val="000000"/>
          <w:sz w:val="22"/>
        </w:rPr>
        <w:t>means a person 18 years of age or older who meets the eligibility requirements for services or is a recipient of protective services and who is considering or needs a living arrangement in a family-life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“Encouragement to share in the interests and activities of the household”</w:t>
      </w:r>
      <w:r>
        <w:rPr>
          <w:rFonts w:ascii="Times New Roman" w:hAnsi="Times New Roman"/>
          <w:b w:val="false"/>
          <w:i w:val="false"/>
          <w:color w:val="000000"/>
          <w:sz w:val="22"/>
        </w:rPr>
        <w:t> </w:t>
      </w:r>
      <w:r>
        <w:rPr>
          <w:rFonts w:ascii="Times New Roman" w:hAnsi="Times New Roman"/>
          <w:b w:val="false"/>
          <w:i w:val="false"/>
          <w:color w:val="000000"/>
          <w:sz w:val="22"/>
        </w:rPr>
        <w:t>means that the family welcomes and encourages the person to participate with the family in the family’s general family conversations and in the family’s social, recreational, educational, and religious activities; the family invites and encourages use of the general facilities of the family’s home; and the family expects the person to care for the person’s assigned living quarters and to participate within reason in the chores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“Essentially capable of physical self-care”</w:t>
      </w:r>
      <w:r>
        <w:rPr>
          <w:rFonts w:ascii="Times New Roman" w:hAnsi="Times New Roman"/>
          <w:b w:val="false"/>
          <w:i w:val="false"/>
          <w:color w:val="000000"/>
          <w:sz w:val="22"/>
        </w:rPr>
        <w:t> </w:t>
      </w:r>
      <w:r>
        <w:rPr>
          <w:rFonts w:ascii="Times New Roman" w:hAnsi="Times New Roman"/>
          <w:b w:val="false"/>
          <w:i w:val="false"/>
          <w:color w:val="000000"/>
          <w:sz w:val="22"/>
        </w:rPr>
        <w:t>means the person is ambulatory or can move from place to place; can manage the activities of daily living, including personal hygiene and grooming, toileting, dressing and undressing, feeding, and medicating; and can attend to the care of personal property adequately with minimal support or occasional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a person or persons, either related or unrelated to the client, who constitute the members of the household and are related to one another by kinship of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“Family-life home”</w:t>
      </w:r>
      <w:r>
        <w:rPr>
          <w:rFonts w:ascii="Times New Roman" w:hAnsi="Times New Roman"/>
          <w:b w:val="false"/>
          <w:i w:val="false"/>
          <w:color w:val="000000"/>
          <w:sz w:val="22"/>
        </w:rPr>
        <w:t> </w:t>
      </w:r>
      <w:r>
        <w:rPr>
          <w:rFonts w:ascii="Times New Roman" w:hAnsi="Times New Roman"/>
          <w:b w:val="false"/>
          <w:i w:val="false"/>
          <w:color w:val="000000"/>
          <w:sz w:val="22"/>
        </w:rPr>
        <w:t>means a private household offering a protective social living arrangement for one or two eligible adults who are not able or willing to adequately maintain themselves in an independent living arrangement but who are essentially capable of physical self-care. In this living arrangement, the family provides the client room, board, laundry, encouragement to share in the interests and activities of the household, and opportunities for participation in the social, cultural, educational, religious, and other activities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 able or willing to adequately maintain themselves in an independent living arrangement”</w:t>
      </w:r>
      <w:r>
        <w:rPr>
          <w:rFonts w:ascii="Times New Roman" w:hAnsi="Times New Roman"/>
          <w:b w:val="false"/>
          <w:i w:val="false"/>
          <w:color w:val="000000"/>
          <w:sz w:val="22"/>
        </w:rPr>
        <w:t> </w:t>
      </w:r>
      <w:r>
        <w:rPr>
          <w:rFonts w:ascii="Times New Roman" w:hAnsi="Times New Roman"/>
          <w:b w:val="false"/>
          <w:i w:val="false"/>
          <w:color w:val="000000"/>
          <w:sz w:val="22"/>
        </w:rPr>
        <w:t>means that the person requires some assistance, encouragement, or social stimulation for adequate self-care or to maintain physical or mental health or personal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household”</w:t>
      </w:r>
      <w:r>
        <w:rPr>
          <w:rFonts w:ascii="Times New Roman" w:hAnsi="Times New Roman"/>
          <w:b w:val="false"/>
          <w:i w:val="false"/>
          <w:color w:val="000000"/>
          <w:sz w:val="22"/>
        </w:rPr>
        <w:t> </w:t>
      </w:r>
      <w:r>
        <w:rPr>
          <w:rFonts w:ascii="Times New Roman" w:hAnsi="Times New Roman"/>
          <w:b w:val="false"/>
          <w:i w:val="false"/>
          <w:color w:val="000000"/>
          <w:sz w:val="22"/>
        </w:rPr>
        <w:t>means a dwelling unit occupied exclusively by a family and furnished by and belonging to the family by reason of ownership, rental agreement, or by a contract for purchase of life estate.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0348D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