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261—49.9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Part 2 application.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Submission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 2 applications may be submitted at any time after the project has received an approved Part 1 application and the applicant has participated in a preapplication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Required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must provide any information requested by SHPO, including but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detailed description of the rehabilitation;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estimate of the total costs related to the rehabilitation and other work to be completed on the property, regardless of whether the costs are qualified rehabilitation costs;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estimate of the qualified rehabilitation expenditures;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Photographs;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Applicable documentation of the applicant’s status as an eligible taxpayer as described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261—49.5(404A)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 about the current and intended future uses of the property; and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Whether the applicant plans to submit a Part 2B application as a small project or a large project.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Generally, SHPO will review fully completed Part 2 applications within 90 calendar days of receipt; however, this time frame is not mandatory. If the application is incomplete when submitted or if SHPO must request additional information, the 90-day review period will restart when SHPO receives the requested information. The application may be rejected if any requested information is not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Response from SHPO.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review of the complete Part 2 application will result in one of three responses: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project is eligible to submit a Part 2B application because the proposed rehabilitation described in the application meets the federal standards;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project is eligible to submit a Part 2B application because the proposed rehabilitation described in the application will likely meet the federal standards if stipulated conditions are met;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project is ineligible to submit a Part 2B application because the proposed rehabilitation does not meet the federal standards. The project may amend its Part 2 application or submit a new Part 2 application for the property to propose a rehabilitation that meets the federal standards.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49.9(5)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Amendments.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shall amend an approved Part 2 application to request review of modifications to the previously approved description of rehabilitation, including changes to the ownership of the project. Amendments to the Part 2 application shall not result in the awarding of additional tax credits for the project and may result in a reduction in or rescission of a tax credit award if SHPO determines that the work does not meet the federal standards or does not otherwise comply with the requirements of the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7/15/26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1.49.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